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65" w:rsidRPr="005F4DC0" w:rsidRDefault="005F4DC0">
      <w:pPr>
        <w:jc w:val="center"/>
        <w:rPr>
          <w:lang w:val="ru-RU"/>
        </w:rPr>
      </w:pPr>
      <w:r w:rsidRPr="005F4DC0">
        <w:rPr>
          <w:rFonts w:ascii="Times New Roman" w:eastAsia="Times New Roman" w:hAnsi="Times New Roman"/>
          <w:b/>
          <w:sz w:val="28"/>
          <w:lang w:val="ru-RU"/>
        </w:rPr>
        <w:t>ПРОЕКТ: Разработка эмульсии на основе субстанции растительного происхождения</w:t>
      </w:r>
      <w:r w:rsidRPr="005F4DC0">
        <w:rPr>
          <w:rFonts w:ascii="Times New Roman" w:eastAsia="Times New Roman" w:hAnsi="Times New Roman"/>
          <w:b/>
          <w:sz w:val="28"/>
          <w:lang w:val="ru-RU"/>
        </w:rPr>
        <w:br/>
        <w:t>с цитотоксическим действием для применения при накожных доброкачественных новообразованиях</w:t>
      </w:r>
    </w:p>
    <w:p w:rsidR="00A42965" w:rsidRPr="005F4DC0" w:rsidRDefault="005F4DC0">
      <w:pPr>
        <w:jc w:val="center"/>
        <w:rPr>
          <w:lang w:val="ru-RU"/>
        </w:rPr>
      </w:pPr>
      <w:r w:rsidRPr="005F4DC0">
        <w:rPr>
          <w:rFonts w:ascii="Times New Roman" w:eastAsia="Times New Roman" w:hAnsi="Times New Roman"/>
          <w:i/>
          <w:sz w:val="24"/>
          <w:lang w:val="ru-RU"/>
        </w:rPr>
        <w:br/>
        <w:t>(Скорректированная и дополненная версия)</w:t>
      </w:r>
      <w:r w:rsidRPr="005F4DC0">
        <w:rPr>
          <w:rFonts w:ascii="Times New Roman" w:eastAsia="Times New Roman" w:hAnsi="Times New Roman"/>
          <w:i/>
          <w:sz w:val="24"/>
          <w:lang w:val="ru-RU"/>
        </w:rPr>
        <w:br/>
      </w:r>
      <w:r w:rsidRPr="005F4DC0">
        <w:rPr>
          <w:rFonts w:ascii="Times New Roman" w:eastAsia="Times New Roman" w:hAnsi="Times New Roman"/>
          <w:i/>
          <w:lang w:val="ru-RU"/>
        </w:rPr>
        <w:t>Дата: 11.06.2026</w:t>
      </w:r>
    </w:p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 xml:space="preserve">1. ОПИСАНИЕ ПРОДУКТА И </w:t>
      </w: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РЕШАЕМАЯ ПРОБЛЕМА</w:t>
      </w:r>
    </w:p>
    <w:p w:rsidR="00A42965" w:rsidRPr="005F4DC0" w:rsidRDefault="005F4DC0" w:rsidP="005F4DC0">
      <w:pPr>
        <w:jc w:val="both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Разработка эмульсии на основе субстанции растительного происхождения с цитотоксическим действием для применения при накожных доброкачественных новообразованиях (папилломы, бородавки, кондиломы, кератозы).</w:t>
      </w:r>
    </w:p>
    <w:p w:rsidR="00A42965" w:rsidRPr="005F4DC0" w:rsidRDefault="005F4DC0" w:rsidP="005F4DC0">
      <w:pPr>
        <w:jc w:val="both"/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Состав: </w:t>
      </w:r>
      <w:r w:rsidRPr="005F4DC0">
        <w:rPr>
          <w:rFonts w:ascii="Times New Roman" w:eastAsia="Times New Roman" w:hAnsi="Times New Roman"/>
          <w:sz w:val="24"/>
          <w:lang w:val="ru-RU"/>
        </w:rPr>
        <w:t>растительные компоненты с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 преобладанием фенольных соединений цитотоксического действия, полученные из травы купыря лесного (</w:t>
      </w:r>
      <w:proofErr w:type="spellStart"/>
      <w:r w:rsidRPr="005F4DC0">
        <w:rPr>
          <w:rFonts w:ascii="Times New Roman" w:eastAsia="Times New Roman" w:hAnsi="Times New Roman"/>
          <w:i/>
          <w:sz w:val="24"/>
        </w:rPr>
        <w:t>Anthriscus</w:t>
      </w:r>
      <w:proofErr w:type="spellEnd"/>
      <w:r w:rsidRPr="005F4DC0">
        <w:rPr>
          <w:rFonts w:ascii="Times New Roman" w:eastAsia="Times New Roman" w:hAnsi="Times New Roman"/>
          <w:i/>
          <w:sz w:val="24"/>
          <w:lang w:val="ru-RU"/>
        </w:rPr>
        <w:t xml:space="preserve"> </w:t>
      </w:r>
      <w:proofErr w:type="spellStart"/>
      <w:r w:rsidRPr="005F4DC0">
        <w:rPr>
          <w:rFonts w:ascii="Times New Roman" w:eastAsia="Times New Roman" w:hAnsi="Times New Roman"/>
          <w:i/>
          <w:sz w:val="24"/>
        </w:rPr>
        <w:t>sylvestris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</w:rPr>
        <w:t>L</w:t>
      </w:r>
      <w:r w:rsidRPr="005F4DC0">
        <w:rPr>
          <w:rFonts w:ascii="Times New Roman" w:eastAsia="Times New Roman" w:hAnsi="Times New Roman"/>
          <w:sz w:val="24"/>
          <w:lang w:val="ru-RU"/>
        </w:rPr>
        <w:t>.</w:t>
      </w:r>
      <w:r w:rsidRPr="005F4DC0">
        <w:rPr>
          <w:rFonts w:ascii="Times New Roman" w:eastAsia="Times New Roman" w:hAnsi="Times New Roman"/>
          <w:sz w:val="24"/>
          <w:lang w:val="ru-RU"/>
        </w:rPr>
        <w:t>).</w:t>
      </w:r>
    </w:p>
    <w:p w:rsidR="00A42965" w:rsidRPr="005F4DC0" w:rsidRDefault="005F4DC0" w:rsidP="005F4DC0">
      <w:pPr>
        <w:jc w:val="both"/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Решаемая проблема: </w:t>
      </w:r>
      <w:r w:rsidRPr="005F4DC0">
        <w:rPr>
          <w:rFonts w:ascii="Times New Roman" w:eastAsia="Times New Roman" w:hAnsi="Times New Roman"/>
          <w:sz w:val="24"/>
          <w:lang w:val="ru-RU"/>
        </w:rPr>
        <w:t>отсутствие на российском рынке доступных растительных препаратов с доказанной цитотоксической активностью для местного л</w:t>
      </w:r>
      <w:r w:rsidRPr="005F4DC0">
        <w:rPr>
          <w:rFonts w:ascii="Times New Roman" w:eastAsia="Times New Roman" w:hAnsi="Times New Roman"/>
          <w:sz w:val="24"/>
          <w:lang w:val="ru-RU"/>
        </w:rPr>
        <w:t>ечения доброкачественных кожных новообразований. Существующие средства либо имеют агрессивное химическое действие (ожоги, рубцы), либо требуют медицинского вмешательства (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криодеструкция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>, хирургия).</w:t>
      </w:r>
    </w:p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2. УРОВЕНЬ ГОТОВНОСТИ ТЕХНОЛОГИИ (УГТ)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Текущий уровень: У</w:t>
      </w:r>
      <w:r w:rsidRPr="005F4DC0">
        <w:rPr>
          <w:rFonts w:ascii="Times New Roman" w:eastAsia="Times New Roman" w:hAnsi="Times New Roman"/>
          <w:b/>
          <w:sz w:val="24"/>
          <w:lang w:val="ru-RU"/>
        </w:rPr>
        <w:t>ГТ 1–4 (фундаментальные исследования, лабораторная проверка концепции)</w:t>
      </w:r>
    </w:p>
    <w:p w:rsidR="00A42965" w:rsidRDefault="005F4DC0">
      <w:proofErr w:type="spellStart"/>
      <w:r>
        <w:rPr>
          <w:rFonts w:ascii="Times New Roman" w:eastAsia="Times New Roman" w:hAnsi="Times New Roman"/>
          <w:b/>
          <w:sz w:val="24"/>
        </w:rPr>
        <w:t>Выполненные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работы</w:t>
      </w:r>
      <w:proofErr w:type="spellEnd"/>
      <w:r>
        <w:rPr>
          <w:rFonts w:ascii="Times New Roman" w:eastAsia="Times New Roman" w:hAnsi="Times New Roman"/>
          <w:b/>
          <w:sz w:val="24"/>
        </w:rPr>
        <w:t>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Установлены районы заготовки купыря лесного травы;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Установлены показатели подлинности купыря лесного травы макро- и микроскопическим методом анализа;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Изучен качестве</w:t>
      </w:r>
      <w:r w:rsidRPr="005F4DC0">
        <w:rPr>
          <w:rFonts w:ascii="Times New Roman" w:eastAsia="Times New Roman" w:hAnsi="Times New Roman"/>
          <w:sz w:val="24"/>
          <w:lang w:val="ru-RU"/>
        </w:rPr>
        <w:t>нный и количественный химический состав купыря лесного травы: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    а) Фенольные соединения (методом ВЭЖХ-ФДМД-ИЭР-МС);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lastRenderedPageBreak/>
        <w:t xml:space="preserve">    б) Природные биополимеры (белки и их аминокислоты, полисахариды и их моносахариды) выделены гравиметрическим методом с последующей иде</w:t>
      </w:r>
      <w:r w:rsidRPr="005F4DC0">
        <w:rPr>
          <w:rFonts w:ascii="Times New Roman" w:eastAsia="Times New Roman" w:hAnsi="Times New Roman"/>
          <w:sz w:val="24"/>
          <w:lang w:val="ru-RU"/>
        </w:rPr>
        <w:t>нтификацией методом ВЭЖХ;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    в) Содержание макро- и микроэлементов методом атомно-абсорбционной спектрометрии;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    г) Разработана схема последовательного выделения из растительных образцов фенольных соединений и природных полимеров (обработка спиртами, за</w:t>
      </w:r>
      <w:r w:rsidRPr="005F4DC0">
        <w:rPr>
          <w:rFonts w:ascii="Times New Roman" w:eastAsia="Times New Roman" w:hAnsi="Times New Roman"/>
          <w:sz w:val="24"/>
          <w:lang w:val="ru-RU"/>
        </w:rPr>
        <w:t>тем шрот обрабатывается водой);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    д) Установлены физико-химические константы выделенных углеводов с целью использования полученных результатов при разработке лекарственной формы;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    е) Разработаны методики контроля качества вышеперечисленных растительны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х объектов согласно современным требованиям ГФ РФ </w:t>
      </w:r>
      <w:r>
        <w:rPr>
          <w:rFonts w:ascii="Times New Roman" w:eastAsia="Times New Roman" w:hAnsi="Times New Roman"/>
          <w:sz w:val="24"/>
        </w:rPr>
        <w:t>XV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 изд.;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Установлена цитотоксическая активность для субстанции растительного происхождения, полученной из травы купыря лесного (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экстрагент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— спирт этиловый 70%).</w:t>
      </w:r>
    </w:p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3. ДОРОЖНАЯ КАРТА РАЗВИТИЯ ЛАБОРАТОРНОЙ ТЕХ</w:t>
      </w: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НОЛОГИИ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B40000"/>
          <w:sz w:val="24"/>
          <w:lang w:val="ru-RU"/>
        </w:rPr>
        <w:t>Целевой уровень: УГТ 6–7 (разработка лекарственной формы, доклинические испытания)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739"/>
        <w:gridCol w:w="3288"/>
        <w:gridCol w:w="1118"/>
        <w:gridCol w:w="2711"/>
      </w:tblGrid>
      <w:tr w:rsidR="00A42965">
        <w:tc>
          <w:tcPr>
            <w:tcW w:w="1872" w:type="dxa"/>
          </w:tcPr>
          <w:p w:rsidR="00A42965" w:rsidRDefault="005F4DC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Этап</w:t>
            </w:r>
            <w:proofErr w:type="spellEnd"/>
          </w:p>
        </w:tc>
        <w:tc>
          <w:tcPr>
            <w:tcW w:w="4320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работ</w:t>
            </w:r>
          </w:p>
        </w:tc>
        <w:tc>
          <w:tcPr>
            <w:tcW w:w="1296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Сроки</w:t>
            </w:r>
          </w:p>
        </w:tc>
        <w:tc>
          <w:tcPr>
            <w:tcW w:w="3312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Результат</w:t>
            </w:r>
          </w:p>
        </w:tc>
      </w:tr>
      <w:tr w:rsidR="00A42965" w:rsidRPr="005F4DC0"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Этап 1</w:t>
            </w:r>
            <w:r>
              <w:rPr>
                <w:rFonts w:ascii="Times New Roman" w:eastAsia="Times New Roman" w:hAnsi="Times New Roman"/>
                <w:sz w:val="20"/>
              </w:rPr>
              <w:br/>
              <w:t>Стандартизация сырья</w:t>
            </w:r>
          </w:p>
        </w:tc>
        <w:tc>
          <w:tcPr>
            <w:tcW w:w="432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Разработка фармакопейной статьи на «Траву купыря лесного»;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Валидация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методов анализа (линейность, 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точность,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воспроизводимость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, специфичность);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Создание банка генетически идентифицированного сырья (≥3 партий из разных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экогеографических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зон);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Нормирование содержания суммы фенольных соединений и ключевых маркеров (рутин,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хлорогеновая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кислота,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кверцетин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</w:rPr>
              <w:t xml:space="preserve">–4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Нормативная документация на сырьё; стандартизированное сырьё с воспроизводимым профилем</w:t>
            </w:r>
          </w:p>
        </w:tc>
      </w:tr>
      <w:tr w:rsidR="00A42965" w:rsidRPr="005F4DC0">
        <w:tc>
          <w:tcPr>
            <w:tcW w:w="1872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Этап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Оптимизация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экстракции</w:t>
            </w:r>
            <w:proofErr w:type="spellEnd"/>
          </w:p>
        </w:tc>
        <w:tc>
          <w:tcPr>
            <w:tcW w:w="432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Полный факторный эксперимент (ПФЭ) для определения оптимальных параметров: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>• концентрация этилового спирта (50–96%);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• 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соотношение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сырьё</w:t>
            </w:r>
            <w:proofErr w:type="gram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:э</w:t>
            </w:r>
            <w:proofErr w:type="gram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кстрагент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(1:5 – 1:20);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>• температура (20–60 °</w:t>
            </w:r>
            <w:r>
              <w:rPr>
                <w:rFonts w:ascii="Times New Roman" w:eastAsia="Times New Roman" w:hAnsi="Times New Roman"/>
                <w:sz w:val="20"/>
              </w:rPr>
              <w:t>C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>• время экстракции (1–6 ч);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• кратность экстракции (1–3);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>Определение выхода целевых фракций и профиля побочных примесей;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>Разработка технологической инструкции на получение сухого экстрак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та</w:t>
            </w:r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4–6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Оптимизированная технология получения субстанции; технологическая инструкция; нормированный сухой экстракт</w:t>
            </w:r>
          </w:p>
        </w:tc>
      </w:tr>
      <w:tr w:rsidR="00A42965" w:rsidRPr="005F4DC0">
        <w:tc>
          <w:tcPr>
            <w:tcW w:w="187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Этап 3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Доклиническая фармакология </w:t>
            </w:r>
            <w:r>
              <w:rPr>
                <w:rFonts w:ascii="Times New Roman" w:eastAsia="Times New Roman" w:hAnsi="Times New Roman"/>
                <w:sz w:val="20"/>
              </w:rPr>
              <w:t>in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vitro</w:t>
            </w:r>
          </w:p>
        </w:tc>
        <w:tc>
          <w:tcPr>
            <w:tcW w:w="432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Исследование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цитотоксичности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на линиях клеток доброкачественных новообразований кожи с опреде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лением </w:t>
            </w:r>
            <w:r>
              <w:rPr>
                <w:rFonts w:ascii="Times New Roman" w:eastAsia="Times New Roman" w:hAnsi="Times New Roman"/>
                <w:sz w:val="20"/>
              </w:rPr>
              <w:t>IC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₅₀;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Сравнительная оценка селективности: клетки новообразований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vs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. нормальные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кератиноциты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(индекс селективности </w:t>
            </w:r>
            <w:r>
              <w:rPr>
                <w:rFonts w:ascii="Times New Roman" w:eastAsia="Times New Roman" w:hAnsi="Times New Roman"/>
                <w:sz w:val="20"/>
              </w:rPr>
              <w:t>SI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&gt; 3–5);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Изучение механизма действия: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апоптоз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, некроз,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аутофагия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(проточная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цитометрия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</w:rPr>
              <w:t>Western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blot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, окраска по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Аннексину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V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PI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>Оп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ределение антиоксидантной активности (метод ДППГ, ОРАС)</w:t>
            </w:r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 xml:space="preserve">6–9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Доказательство селективной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цитотоксичности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; понимание механизма действия; оптимальные концентрации для формулирования</w:t>
            </w:r>
          </w:p>
        </w:tc>
      </w:tr>
      <w:tr w:rsidR="00A42965" w:rsidRPr="005F4DC0">
        <w:tc>
          <w:tcPr>
            <w:tcW w:w="187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Этап 4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Доклиническая фармакология </w:t>
            </w:r>
            <w:r>
              <w:rPr>
                <w:rFonts w:ascii="Times New Roman" w:eastAsia="Times New Roman" w:hAnsi="Times New Roman"/>
                <w:sz w:val="20"/>
              </w:rPr>
              <w:t>in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vivo</w:t>
            </w:r>
          </w:p>
        </w:tc>
        <w:tc>
          <w:tcPr>
            <w:tcW w:w="432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Модель накожных доброкачествен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ных новообразований (химически индуцированные папилломы на мышах/крысах);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Оценка эффективности: динамика размеров, гистология,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иммуногистохимия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</w:rPr>
              <w:t>Ki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-67, </w:t>
            </w:r>
            <w:r>
              <w:rPr>
                <w:rFonts w:ascii="Times New Roman" w:eastAsia="Times New Roman" w:hAnsi="Times New Roman"/>
                <w:sz w:val="20"/>
              </w:rPr>
              <w:t>p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53,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цитокератины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>Оценка безопасности: острая токсичность (</w:t>
            </w:r>
            <w:r>
              <w:rPr>
                <w:rFonts w:ascii="Times New Roman" w:eastAsia="Times New Roman" w:hAnsi="Times New Roman"/>
                <w:sz w:val="20"/>
              </w:rPr>
              <w:t>LD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₅₀), хроническая токсичность (90 дней),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м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естнораздражающее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действие,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аллергенность</w:t>
            </w:r>
            <w:proofErr w:type="spellEnd"/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 xml:space="preserve">12–18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Доказательство эффективности и безопасности </w:t>
            </w:r>
            <w:r>
              <w:rPr>
                <w:rFonts w:ascii="Times New Roman" w:eastAsia="Times New Roman" w:hAnsi="Times New Roman"/>
                <w:sz w:val="20"/>
              </w:rPr>
              <w:t>in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vivo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; протоколы исследований; отчёт о доклинических испытаниях</w:t>
            </w:r>
          </w:p>
        </w:tc>
      </w:tr>
      <w:tr w:rsidR="00A42965" w:rsidRPr="005F4DC0">
        <w:tc>
          <w:tcPr>
            <w:tcW w:w="1872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Этап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Разработка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лекарственной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формы</w:t>
            </w:r>
          </w:p>
        </w:tc>
        <w:tc>
          <w:tcPr>
            <w:tcW w:w="432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Подбор типа эмульсии (</w:t>
            </w:r>
            <w:r>
              <w:rPr>
                <w:rFonts w:ascii="Times New Roman" w:eastAsia="Times New Roman" w:hAnsi="Times New Roman"/>
                <w:sz w:val="20"/>
              </w:rPr>
              <w:t>O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W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— гидрофильный крем);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Выбор 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эмульгатора (природные: лецитин, восковые эфиры);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>Определение оптимальной концентрации субстанции (0,5–5%);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Физико-химическая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характеризация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: рН (5,0–6,5), вязкость, дисперсность;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>Исследование стабильности при хранении (ускоренные испытания: 40 °</w:t>
            </w:r>
            <w:r>
              <w:rPr>
                <w:rFonts w:ascii="Times New Roman" w:eastAsia="Times New Roman" w:hAnsi="Times New Roman"/>
                <w:sz w:val="20"/>
              </w:rPr>
              <w:t>C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, 75% вла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жность, 6 мес.);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In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vitro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проницаемость через модельные мембраны (</w:t>
            </w:r>
            <w:r>
              <w:rPr>
                <w:rFonts w:ascii="Times New Roman" w:eastAsia="Times New Roman" w:hAnsi="Times New Roman"/>
                <w:sz w:val="20"/>
              </w:rPr>
              <w:t>Franz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diffusion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cells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 xml:space="preserve">6–9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Оптимальная рецептура эмульсии; физико-химические характеристики; данные о стабильности и проницаемости</w:t>
            </w:r>
          </w:p>
        </w:tc>
      </w:tr>
      <w:tr w:rsidR="00A42965" w:rsidRPr="005F4DC0">
        <w:tc>
          <w:tcPr>
            <w:tcW w:w="1872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Этап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Оценка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лекарственной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формы</w:t>
            </w:r>
          </w:p>
        </w:tc>
        <w:tc>
          <w:tcPr>
            <w:tcW w:w="4320" w:type="dxa"/>
          </w:tcPr>
          <w:p w:rsidR="00A42965" w:rsidRPr="005F4DC0" w:rsidRDefault="005F4DC0">
            <w:pPr>
              <w:rPr>
                <w:lang w:val="ru-RU"/>
              </w:rPr>
            </w:pP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Фармакокинетика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: оп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ределение проникновения активных компонентов в кожу (</w:t>
            </w:r>
            <w:r>
              <w:rPr>
                <w:rFonts w:ascii="Times New Roman" w:eastAsia="Times New Roman" w:hAnsi="Times New Roman"/>
                <w:sz w:val="20"/>
              </w:rPr>
              <w:t>HPLC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MS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MS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анализ биопсий);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Фармакодинамика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: сравнение эффективности эмульсии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vs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. раствора субстанции;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Токсикология: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местнораздражающее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действие,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фототоксичность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, сенсибилизация (метод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Бюлера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6–9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Д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анные о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фармакокинетике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и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фармакодинамике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формы; протоколы безопасности; готовность к регистрации</w:t>
            </w:r>
          </w:p>
        </w:tc>
      </w:tr>
    </w:tbl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4. НАУЧНАЯ НОВИЗНА И ОРИГИНАЛЬНОСТЬ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Научная новизна: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Впервые системно изучена цитотоксическая активность экстрактов купыря лесного в отношении клеток доброк</w:t>
      </w:r>
      <w:r w:rsidRPr="005F4DC0">
        <w:rPr>
          <w:rFonts w:ascii="Times New Roman" w:eastAsia="Times New Roman" w:hAnsi="Times New Roman"/>
          <w:sz w:val="24"/>
          <w:lang w:val="ru-RU"/>
        </w:rPr>
        <w:t>ачественных новообразований кожи;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Разработана концепция «полного цикла» использования растительного сырья: извлечение фенольных соединений → использование полимерной фракции в качестве вспомогательных веществ → утилизация отходов;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Предложена оригинальная с</w:t>
      </w:r>
      <w:r w:rsidRPr="005F4DC0">
        <w:rPr>
          <w:rFonts w:ascii="Times New Roman" w:eastAsia="Times New Roman" w:hAnsi="Times New Roman"/>
          <w:sz w:val="24"/>
          <w:lang w:val="ru-RU"/>
        </w:rPr>
        <w:t>хема последовательной экстракции, позволяющая максимально извлекать целевые фенольные соединения с минимальными потерями;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Установлен профиль макро- и микроэлементов, что позволяет контролировать безопасность сырья по тяжёлым металлам и радионуклидам.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Степе</w:t>
      </w: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нь новизны по сравнению с аналогами: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Существующие растительные препараты для лечения бородавок и папиллом (на основе чистотела, чайного дерева) не имеют доказанной цитотоксической селективности. Предлагаемая технология отличается наличием фармакологически </w:t>
      </w:r>
      <w:r w:rsidRPr="005F4DC0">
        <w:rPr>
          <w:rFonts w:ascii="Times New Roman" w:eastAsia="Times New Roman" w:hAnsi="Times New Roman"/>
          <w:sz w:val="24"/>
          <w:lang w:val="ru-RU"/>
        </w:rPr>
        <w:t>обоснованного механизма действия и потенциалом для разработки препарата с повышенным профилем безопасности.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Патенты и заявки: </w:t>
      </w:r>
      <w:r w:rsidRPr="005F4DC0">
        <w:rPr>
          <w:rFonts w:ascii="Times New Roman" w:eastAsia="Times New Roman" w:hAnsi="Times New Roman"/>
          <w:sz w:val="24"/>
          <w:lang w:val="ru-RU"/>
        </w:rPr>
        <w:t>Планируется подача заявки на изобретение «Способ получения субстанции с цитотоксической активностью из травы купыря лесного» после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 завершения этапа оптимизации экстракции (Этап 2).</w:t>
      </w:r>
    </w:p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5. ТЕХНОЛОГИЧЕСКАЯ ГОТОВНОСТЬ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Текущая стадия: </w:t>
      </w:r>
      <w:r w:rsidRPr="005F4DC0">
        <w:rPr>
          <w:rFonts w:ascii="Times New Roman" w:eastAsia="Times New Roman" w:hAnsi="Times New Roman"/>
          <w:sz w:val="24"/>
          <w:lang w:val="ru-RU"/>
        </w:rPr>
        <w:t>Лабораторная разработка (УГТ 1–4). Имеется сырьевая база для заготовки лекарственного сырья.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Требуемые дополнительные исследования и разработки: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Завершение </w:t>
      </w:r>
      <w:r w:rsidRPr="005F4DC0">
        <w:rPr>
          <w:rFonts w:ascii="Times New Roman" w:eastAsia="Times New Roman" w:hAnsi="Times New Roman"/>
          <w:sz w:val="24"/>
          <w:lang w:val="ru-RU"/>
        </w:rPr>
        <w:t>оптимизации технологических параметров экстракции (Этап 2);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Проведение полного комплекса доклинических испытаний (Этапы 3–4);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lastRenderedPageBreak/>
        <w:t xml:space="preserve">Разработка и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валидация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аналитических методов для контроля готовой лекарственной формы;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Разработка проекта нормативной документации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 (ТУ/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Техрегламент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>) на готовый продукт;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Разработка технологической инструкции на серийное производство;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Проведение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стабильностных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исследований (</w:t>
      </w:r>
      <w:proofErr w:type="gramStart"/>
      <w:r w:rsidRPr="005F4DC0">
        <w:rPr>
          <w:rFonts w:ascii="Times New Roman" w:eastAsia="Times New Roman" w:hAnsi="Times New Roman"/>
          <w:sz w:val="24"/>
          <w:lang w:val="ru-RU"/>
        </w:rPr>
        <w:t>ускоренные</w:t>
      </w:r>
      <w:proofErr w:type="gramEnd"/>
      <w:r w:rsidRPr="005F4DC0">
        <w:rPr>
          <w:rFonts w:ascii="Times New Roman" w:eastAsia="Times New Roman" w:hAnsi="Times New Roman"/>
          <w:sz w:val="24"/>
          <w:lang w:val="ru-RU"/>
        </w:rPr>
        <w:t xml:space="preserve"> и длительные).</w:t>
      </w:r>
    </w:p>
    <w:p w:rsidR="00A42965" w:rsidRDefault="005F4DC0">
      <w:proofErr w:type="spellStart"/>
      <w:r>
        <w:rPr>
          <w:rFonts w:ascii="Times New Roman" w:eastAsia="Times New Roman" w:hAnsi="Times New Roman"/>
          <w:b/>
          <w:sz w:val="24"/>
        </w:rPr>
        <w:t>Риски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технологической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реализации</w:t>
      </w:r>
      <w:proofErr w:type="spellEnd"/>
      <w:r>
        <w:rPr>
          <w:rFonts w:ascii="Times New Roman" w:eastAsia="Times New Roman" w:hAnsi="Times New Roman"/>
          <w:b/>
          <w:sz w:val="24"/>
        </w:rPr>
        <w:t>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Вариабельность химического состава сырья в </w:t>
      </w:r>
      <w:r w:rsidRPr="005F4DC0">
        <w:rPr>
          <w:rFonts w:ascii="Times New Roman" w:eastAsia="Times New Roman" w:hAnsi="Times New Roman"/>
          <w:sz w:val="24"/>
          <w:lang w:val="ru-RU"/>
        </w:rPr>
        <w:t>зависимости от экологических условий (минимизация: стандартизация сырья, создание плантаций);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Сложности масштабирования экстракционного процесса (минимизация: пилотные испытания на оборудовании промышленного типа);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Недостаточная селективность цитотоксическ</w:t>
      </w:r>
      <w:r w:rsidRPr="005F4DC0">
        <w:rPr>
          <w:rFonts w:ascii="Times New Roman" w:eastAsia="Times New Roman" w:hAnsi="Times New Roman"/>
          <w:sz w:val="24"/>
          <w:lang w:val="ru-RU"/>
        </w:rPr>
        <w:t>ого действия (минимизация: углублённое изучение механизма, оптимизация дозировки);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Низкая стабильность эмульсии при длительном хранении (минимизация: подбор оптимальной рецептуры, использование антиоксидантов и консервантов).</w:t>
      </w:r>
    </w:p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6. КОММЕРЧЕСКИЙ ПОТЕНЦИАЛ (СК</w:t>
      </w: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ОРРЕКТИРОВАННЫЙ БЛОК)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6633"/>
          <w:sz w:val="24"/>
          <w:lang w:val="ru-RU"/>
        </w:rPr>
        <w:t>6.1. Позиционирование продукта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Стратегия «двойного трека» (</w:t>
      </w:r>
      <w:r>
        <w:rPr>
          <w:rFonts w:ascii="Times New Roman" w:eastAsia="Times New Roman" w:hAnsi="Times New Roman"/>
          <w:b/>
          <w:sz w:val="24"/>
        </w:rPr>
        <w:t>Dual</w:t>
      </w:r>
      <w:r w:rsidRPr="005F4DC0">
        <w:rPr>
          <w:rFonts w:ascii="Times New Roman" w:eastAsia="Times New Roman" w:hAnsi="Times New Roman"/>
          <w:b/>
          <w:sz w:val="24"/>
          <w:lang w:val="ru-RU"/>
        </w:rPr>
        <w:t>-</w:t>
      </w:r>
      <w:r>
        <w:rPr>
          <w:rFonts w:ascii="Times New Roman" w:eastAsia="Times New Roman" w:hAnsi="Times New Roman"/>
          <w:b/>
          <w:sz w:val="24"/>
        </w:rPr>
        <w:t>track</w:t>
      </w: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strategy</w:t>
      </w:r>
      <w:r w:rsidRPr="005F4DC0">
        <w:rPr>
          <w:rFonts w:ascii="Times New Roman" w:eastAsia="Times New Roman" w:hAnsi="Times New Roman"/>
          <w:b/>
          <w:sz w:val="24"/>
          <w:lang w:val="ru-RU"/>
        </w:rPr>
        <w:t>):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Вариант</w:t>
      </w:r>
      <w:proofErr w:type="gramStart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А</w:t>
      </w:r>
      <w:proofErr w:type="gram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(быстрый выход на рынок):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БАД/косметическое средство для проблемной кожи с позиционированием «профилактика и уход при кожных нарушениях». Срок </w:t>
      </w:r>
      <w:r w:rsidRPr="005F4DC0">
        <w:rPr>
          <w:rFonts w:ascii="Times New Roman" w:eastAsia="Times New Roman" w:hAnsi="Times New Roman"/>
          <w:sz w:val="24"/>
          <w:lang w:val="ru-RU"/>
        </w:rPr>
        <w:t>выхода: 12–18 мес. после завершения базовых исследований.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Вариант</w:t>
      </w:r>
      <w:proofErr w:type="gramStart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Б</w:t>
      </w:r>
      <w:proofErr w:type="gram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(долгосрочная стратегия): </w:t>
      </w:r>
      <w:r w:rsidRPr="005F4DC0">
        <w:rPr>
          <w:rFonts w:ascii="Times New Roman" w:eastAsia="Times New Roman" w:hAnsi="Times New Roman"/>
          <w:sz w:val="24"/>
          <w:lang w:val="ru-RU"/>
        </w:rPr>
        <w:t>Медицинское изделие или препарат для наружного применения с доказанной эффективностью при доброкачественных новообразованиях кожи. Срок выхода: 36–48 мес. (включа</w:t>
      </w:r>
      <w:r w:rsidRPr="005F4DC0">
        <w:rPr>
          <w:rFonts w:ascii="Times New Roman" w:eastAsia="Times New Roman" w:hAnsi="Times New Roman"/>
          <w:sz w:val="24"/>
          <w:lang w:val="ru-RU"/>
        </w:rPr>
        <w:t>я полный цикл доклинических и клинических испытаний).</w:t>
      </w:r>
    </w:p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6633"/>
          <w:sz w:val="24"/>
          <w:lang w:val="ru-RU"/>
        </w:rPr>
        <w:t>6.2. Рыночный потенциал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Актуальные данные рынка (2025–2026 гг.):</w:t>
      </w:r>
    </w:p>
    <w:p w:rsidR="00A42965" w:rsidRDefault="005F4DC0">
      <w:pPr>
        <w:pStyle w:val="a0"/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Общий объём розничного рынка БАД в России: ~279 </w:t>
      </w:r>
      <w:proofErr w:type="gramStart"/>
      <w:r w:rsidRPr="005F4DC0">
        <w:rPr>
          <w:rFonts w:ascii="Times New Roman" w:eastAsia="Times New Roman" w:hAnsi="Times New Roman"/>
          <w:sz w:val="24"/>
          <w:lang w:val="ru-RU"/>
        </w:rPr>
        <w:t>млрд</w:t>
      </w:r>
      <w:proofErr w:type="gramEnd"/>
      <w:r w:rsidRPr="005F4DC0">
        <w:rPr>
          <w:rFonts w:ascii="Times New Roman" w:eastAsia="Times New Roman" w:hAnsi="Times New Roman"/>
          <w:sz w:val="24"/>
          <w:lang w:val="ru-RU"/>
        </w:rPr>
        <w:t xml:space="preserve"> руб. </w:t>
      </w:r>
      <w:r>
        <w:rPr>
          <w:rFonts w:ascii="Times New Roman" w:eastAsia="Times New Roman" w:hAnsi="Times New Roman"/>
          <w:sz w:val="24"/>
        </w:rPr>
        <w:t>(</w:t>
      </w:r>
      <w:proofErr w:type="spellStart"/>
      <w:r>
        <w:rPr>
          <w:rFonts w:ascii="Times New Roman" w:eastAsia="Times New Roman" w:hAnsi="Times New Roman"/>
          <w:sz w:val="24"/>
        </w:rPr>
        <w:t>включая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маркетплейсы</w:t>
      </w:r>
      <w:proofErr w:type="spellEnd"/>
      <w:r>
        <w:rPr>
          <w:rFonts w:ascii="Times New Roman" w:eastAsia="Times New Roman" w:hAnsi="Times New Roman"/>
          <w:sz w:val="24"/>
        </w:rPr>
        <w:t>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lastRenderedPageBreak/>
        <w:t xml:space="preserve">Аптечные продажи БАД: ~185–207 </w:t>
      </w:r>
      <w:proofErr w:type="gramStart"/>
      <w:r w:rsidRPr="005F4DC0">
        <w:rPr>
          <w:rFonts w:ascii="Times New Roman" w:eastAsia="Times New Roman" w:hAnsi="Times New Roman"/>
          <w:sz w:val="24"/>
          <w:lang w:val="ru-RU"/>
        </w:rPr>
        <w:t>млрд</w:t>
      </w:r>
      <w:proofErr w:type="gramEnd"/>
      <w:r w:rsidRPr="005F4DC0">
        <w:rPr>
          <w:rFonts w:ascii="Times New Roman" w:eastAsia="Times New Roman" w:hAnsi="Times New Roman"/>
          <w:sz w:val="24"/>
          <w:lang w:val="ru-RU"/>
        </w:rPr>
        <w:t xml:space="preserve"> руб. с ростом 13–1</w:t>
      </w:r>
      <w:r w:rsidRPr="005F4DC0">
        <w:rPr>
          <w:rFonts w:ascii="Times New Roman" w:eastAsia="Times New Roman" w:hAnsi="Times New Roman"/>
          <w:sz w:val="24"/>
          <w:lang w:val="ru-RU"/>
        </w:rPr>
        <w:t>6% год к году;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Средняя цена упаковки БАД: ~529 руб.;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Доля онлайн-продаж: ~30–35% (растущий тренд);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Рост внутреннего производства БАД: +22,4% (импорт +2,7%);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Сегмент средств для проблемной кожи (включая дерматологические БАД и косметику): оценочно 15–20 </w:t>
      </w:r>
      <w:proofErr w:type="gramStart"/>
      <w:r w:rsidRPr="005F4DC0">
        <w:rPr>
          <w:rFonts w:ascii="Times New Roman" w:eastAsia="Times New Roman" w:hAnsi="Times New Roman"/>
          <w:sz w:val="24"/>
          <w:lang w:val="ru-RU"/>
        </w:rPr>
        <w:t>млр</w:t>
      </w:r>
      <w:r w:rsidRPr="005F4DC0">
        <w:rPr>
          <w:rFonts w:ascii="Times New Roman" w:eastAsia="Times New Roman" w:hAnsi="Times New Roman"/>
          <w:sz w:val="24"/>
          <w:lang w:val="ru-RU"/>
        </w:rPr>
        <w:t>д</w:t>
      </w:r>
      <w:proofErr w:type="gramEnd"/>
      <w:r w:rsidRPr="005F4DC0">
        <w:rPr>
          <w:rFonts w:ascii="Times New Roman" w:eastAsia="Times New Roman" w:hAnsi="Times New Roman"/>
          <w:sz w:val="24"/>
          <w:lang w:val="ru-RU"/>
        </w:rPr>
        <w:t xml:space="preserve"> руб. с темпом роста 10–15%.</w:t>
      </w:r>
    </w:p>
    <w:p w:rsidR="00A42965" w:rsidRDefault="005F4DC0">
      <w:proofErr w:type="spellStart"/>
      <w:r>
        <w:rPr>
          <w:rFonts w:ascii="Times New Roman" w:eastAsia="Times New Roman" w:hAnsi="Times New Roman"/>
          <w:b/>
          <w:sz w:val="24"/>
        </w:rPr>
        <w:t>Незакрытые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потребности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рынка</w:t>
      </w:r>
      <w:proofErr w:type="spellEnd"/>
      <w:r>
        <w:rPr>
          <w:rFonts w:ascii="Times New Roman" w:eastAsia="Times New Roman" w:hAnsi="Times New Roman"/>
          <w:b/>
          <w:sz w:val="24"/>
        </w:rPr>
        <w:t>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Высокий спрос на натуральные/растительные средства с доказанной эффективностью;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Недостаток доступных безрецептурных препаратов для самостоятельного применения при доброкачественных кожных </w:t>
      </w:r>
      <w:r w:rsidRPr="005F4DC0">
        <w:rPr>
          <w:rFonts w:ascii="Times New Roman" w:eastAsia="Times New Roman" w:hAnsi="Times New Roman"/>
          <w:sz w:val="24"/>
          <w:lang w:val="ru-RU"/>
        </w:rPr>
        <w:t>новообразованиях;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Стремление потребителей к альтернативам агрессивным химическим средствам (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Суперчистотел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,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Веррукацид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>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Растущий сегмент «аптечной косметики» с фармакологическим обоснованием.</w:t>
      </w:r>
    </w:p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6633"/>
          <w:sz w:val="24"/>
          <w:lang w:val="ru-RU"/>
        </w:rPr>
        <w:t>6.3. Конкурентная среда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Прямые конкуренты (препараты для лечени</w:t>
      </w:r>
      <w:r w:rsidRPr="005F4DC0">
        <w:rPr>
          <w:rFonts w:ascii="Times New Roman" w:eastAsia="Times New Roman" w:hAnsi="Times New Roman"/>
          <w:b/>
          <w:sz w:val="24"/>
          <w:lang w:val="ru-RU"/>
        </w:rPr>
        <w:t>я бородавок, папиллом, кондилом):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589"/>
        <w:gridCol w:w="1928"/>
        <w:gridCol w:w="942"/>
        <w:gridCol w:w="1856"/>
        <w:gridCol w:w="2541"/>
      </w:tblGrid>
      <w:tr w:rsidR="00A42965">
        <w:tc>
          <w:tcPr>
            <w:tcW w:w="1728" w:type="dxa"/>
          </w:tcPr>
          <w:p w:rsidR="00A42965" w:rsidRDefault="005F4DC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Препарат</w:t>
            </w:r>
            <w:proofErr w:type="spellEnd"/>
          </w:p>
        </w:tc>
        <w:tc>
          <w:tcPr>
            <w:tcW w:w="2160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Действующее вещество</w:t>
            </w:r>
          </w:p>
        </w:tc>
        <w:tc>
          <w:tcPr>
            <w:tcW w:w="1296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Цена, руб.</w:t>
            </w:r>
          </w:p>
        </w:tc>
        <w:tc>
          <w:tcPr>
            <w:tcW w:w="1872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Механизм</w:t>
            </w:r>
          </w:p>
        </w:tc>
        <w:tc>
          <w:tcPr>
            <w:tcW w:w="3744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Недостатки</w:t>
            </w:r>
          </w:p>
        </w:tc>
      </w:tr>
      <w:tr w:rsidR="00A42965" w:rsidRPr="005F4DC0">
        <w:tc>
          <w:tcPr>
            <w:tcW w:w="1728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Вартнер</w:t>
            </w:r>
          </w:p>
        </w:tc>
        <w:tc>
          <w:tcPr>
            <w:tcW w:w="216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Диметиловый эфир + пропан</w:t>
            </w:r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400–600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Криодеструкция</w:t>
            </w:r>
          </w:p>
        </w:tc>
        <w:tc>
          <w:tcPr>
            <w:tcW w:w="3744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Требует точного применения, болезненность, риск ожога здоровой кожи</w:t>
            </w:r>
          </w:p>
        </w:tc>
      </w:tr>
      <w:tr w:rsidR="00A42965">
        <w:tc>
          <w:tcPr>
            <w:tcW w:w="1728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Криофарма</w:t>
            </w:r>
            <w:proofErr w:type="spellEnd"/>
          </w:p>
        </w:tc>
        <w:tc>
          <w:tcPr>
            <w:tcW w:w="216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Диметиловый эфир</w:t>
            </w:r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350–500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Криодеструкция</w:t>
            </w:r>
          </w:p>
        </w:tc>
        <w:tc>
          <w:tcPr>
            <w:tcW w:w="3744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То же</w:t>
            </w:r>
          </w:p>
        </w:tc>
      </w:tr>
      <w:tr w:rsidR="00A42965" w:rsidRPr="005F4DC0">
        <w:tc>
          <w:tcPr>
            <w:tcW w:w="1728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Суперчистотел</w:t>
            </w:r>
          </w:p>
        </w:tc>
        <w:tc>
          <w:tcPr>
            <w:tcW w:w="216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Калий + натрий щёлочей</w:t>
            </w:r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50–150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Химический ожог</w:t>
            </w:r>
          </w:p>
        </w:tc>
        <w:tc>
          <w:tcPr>
            <w:tcW w:w="3744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Высокий риск рубцевания, неконтролируемая глубина поражения</w:t>
            </w:r>
          </w:p>
        </w:tc>
      </w:tr>
      <w:tr w:rsidR="00A42965" w:rsidRPr="005F4DC0">
        <w:tc>
          <w:tcPr>
            <w:tcW w:w="1728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Веррукацид</w:t>
            </w:r>
            <w:proofErr w:type="spellEnd"/>
          </w:p>
        </w:tc>
        <w:tc>
          <w:tcPr>
            <w:tcW w:w="216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Фенол + метакрезол</w:t>
            </w:r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200–350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Некроз тканей</w:t>
            </w:r>
          </w:p>
        </w:tc>
        <w:tc>
          <w:tcPr>
            <w:tcW w:w="3744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Болезненность, рубцы, </w:t>
            </w:r>
            <w:proofErr w:type="gram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противопоказан</w:t>
            </w:r>
            <w:proofErr w:type="gram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на лице</w:t>
            </w:r>
          </w:p>
        </w:tc>
      </w:tr>
      <w:tr w:rsidR="00A42965">
        <w:tc>
          <w:tcPr>
            <w:tcW w:w="1728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Кондилин</w:t>
            </w:r>
            <w:proofErr w:type="spellEnd"/>
          </w:p>
        </w:tc>
        <w:tc>
          <w:tcPr>
            <w:tcW w:w="216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Подоф</w:t>
            </w:r>
            <w:r>
              <w:rPr>
                <w:rFonts w:ascii="Times New Roman" w:eastAsia="Times New Roman" w:hAnsi="Times New Roman"/>
                <w:sz w:val="20"/>
              </w:rPr>
              <w:t>иллотоксин</w:t>
            </w:r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800–1200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Антимитотическое</w:t>
            </w:r>
          </w:p>
        </w:tc>
        <w:tc>
          <w:tcPr>
            <w:tcW w:w="3744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Токсичность, требует назначения врача</w:t>
            </w:r>
          </w:p>
        </w:tc>
      </w:tr>
      <w:tr w:rsidR="00A42965" w:rsidRPr="005F4DC0">
        <w:tc>
          <w:tcPr>
            <w:tcW w:w="1728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Виферон-гель</w:t>
            </w:r>
          </w:p>
        </w:tc>
        <w:tc>
          <w:tcPr>
            <w:tcW w:w="216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Интерферон альфа-2b</w:t>
            </w:r>
          </w:p>
        </w:tc>
        <w:tc>
          <w:tcPr>
            <w:tcW w:w="1296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300–500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Иммуномодуляция</w:t>
            </w:r>
          </w:p>
        </w:tc>
        <w:tc>
          <w:tcPr>
            <w:tcW w:w="3744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Низкая эффективность при одиночных бородавках</w:t>
            </w:r>
          </w:p>
        </w:tc>
      </w:tr>
    </w:tbl>
    <w:p w:rsidR="00A42965" w:rsidRDefault="005F4DC0">
      <w:r w:rsidRPr="005F4DC0">
        <w:rPr>
          <w:rFonts w:ascii="Times New Roman" w:eastAsia="Times New Roman" w:hAnsi="Times New Roman"/>
          <w:b/>
          <w:sz w:val="24"/>
          <w:lang w:val="ru-RU"/>
        </w:rPr>
        <w:br/>
      </w:r>
      <w:proofErr w:type="spellStart"/>
      <w:r>
        <w:rPr>
          <w:rFonts w:ascii="Times New Roman" w:eastAsia="Times New Roman" w:hAnsi="Times New Roman"/>
          <w:b/>
          <w:sz w:val="24"/>
        </w:rPr>
        <w:t>Конкурентные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преимущества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предлагаемого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продукта</w:t>
      </w:r>
      <w:proofErr w:type="spellEnd"/>
      <w:r>
        <w:rPr>
          <w:rFonts w:ascii="Times New Roman" w:eastAsia="Times New Roman" w:hAnsi="Times New Roman"/>
          <w:b/>
          <w:sz w:val="24"/>
        </w:rPr>
        <w:t>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Растительное </w:t>
      </w:r>
      <w:r w:rsidRPr="005F4DC0">
        <w:rPr>
          <w:rFonts w:ascii="Times New Roman" w:eastAsia="Times New Roman" w:hAnsi="Times New Roman"/>
          <w:sz w:val="24"/>
          <w:lang w:val="ru-RU"/>
        </w:rPr>
        <w:t>происхождение с доказанной цитотоксической активностью;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Потенциально более мягкое действие по сравнению с химическими ожогами (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Суперчистотел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,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Веррукацид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>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Возможность самостоятельного применения без риска глубоких ожогов;</w:t>
      </w:r>
    </w:p>
    <w:p w:rsidR="00A42965" w:rsidRDefault="005F4DC0">
      <w:pPr>
        <w:pStyle w:val="a0"/>
      </w:pPr>
      <w:proofErr w:type="spellStart"/>
      <w:r>
        <w:rPr>
          <w:rFonts w:ascii="Times New Roman" w:eastAsia="Times New Roman" w:hAnsi="Times New Roman"/>
          <w:sz w:val="24"/>
        </w:rPr>
        <w:lastRenderedPageBreak/>
        <w:t>Отсутствие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токсичных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синтетических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компонентов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Конкурентоспособная цена в среднем ценовом сегменте;</w:t>
      </w:r>
    </w:p>
    <w:p w:rsidR="00A42965" w:rsidRPr="005F4DC0" w:rsidRDefault="005F4DC0">
      <w:pPr>
        <w:pStyle w:val="a0"/>
        <w:rPr>
          <w:lang w:val="ru-RU"/>
        </w:rPr>
      </w:pP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Импортозамещение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>: отечественное сырьё и производство.</w:t>
      </w:r>
    </w:p>
    <w:p w:rsidR="00A42965" w:rsidRPr="005F4DC0" w:rsidRDefault="00A42965">
      <w:pPr>
        <w:rPr>
          <w:lang w:val="ru-RU"/>
        </w:rPr>
      </w:pPr>
    </w:p>
    <w:p w:rsidR="00A42965" w:rsidRDefault="005F4DC0">
      <w:r>
        <w:rPr>
          <w:rFonts w:ascii="Times New Roman" w:eastAsia="Times New Roman" w:hAnsi="Times New Roman"/>
          <w:b/>
          <w:color w:val="006633"/>
          <w:sz w:val="24"/>
        </w:rPr>
        <w:t>6.4. Барьеры входа на рынок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Регуляторные: для БАД — заявительный порядок регистрации (упрощённо); для медицинского изделия/препарата —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 полный цикл испытаний и регистрации;</w:t>
      </w:r>
    </w:p>
    <w:p w:rsidR="00A42965" w:rsidRPr="005F4DC0" w:rsidRDefault="005F4DC0">
      <w:pPr>
        <w:pStyle w:val="a0"/>
        <w:rPr>
          <w:lang w:val="ru-RU"/>
        </w:rPr>
      </w:pPr>
      <w:proofErr w:type="gramStart"/>
      <w:r w:rsidRPr="005F4DC0">
        <w:rPr>
          <w:rFonts w:ascii="Times New Roman" w:eastAsia="Times New Roman" w:hAnsi="Times New Roman"/>
          <w:sz w:val="24"/>
          <w:lang w:val="ru-RU"/>
        </w:rPr>
        <w:t>Конкурентные</w:t>
      </w:r>
      <w:proofErr w:type="gramEnd"/>
      <w:r w:rsidRPr="005F4DC0">
        <w:rPr>
          <w:rFonts w:ascii="Times New Roman" w:eastAsia="Times New Roman" w:hAnsi="Times New Roman"/>
          <w:sz w:val="24"/>
          <w:lang w:val="ru-RU"/>
        </w:rPr>
        <w:t>: доминирование известных брендов (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Вартнер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,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Криофарма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>) и дешёвых аналогов (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Суперчистотел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>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Информационные: необходимость обучения потребителей преимуществам растительной терапии;</w:t>
      </w:r>
    </w:p>
    <w:p w:rsidR="00A42965" w:rsidRPr="005F4DC0" w:rsidRDefault="005F4DC0">
      <w:pPr>
        <w:pStyle w:val="a0"/>
        <w:rPr>
          <w:lang w:val="ru-RU"/>
        </w:rPr>
      </w:pP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Дистрибуционные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>: вход в фед</w:t>
      </w:r>
      <w:r w:rsidRPr="005F4DC0">
        <w:rPr>
          <w:rFonts w:ascii="Times New Roman" w:eastAsia="Times New Roman" w:hAnsi="Times New Roman"/>
          <w:sz w:val="24"/>
          <w:lang w:val="ru-RU"/>
        </w:rPr>
        <w:t>еральные аптечные сети требует значительных маркетинговых инвестиций.</w:t>
      </w:r>
    </w:p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7. ЭКОНОМИЧЕСКАЯ ЭФФЕКТИВНОСТЬ (СКОРРЕКТИРОВАННЫЙ БЛОК)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6633"/>
          <w:sz w:val="24"/>
          <w:lang w:val="ru-RU"/>
        </w:rPr>
        <w:t>7.1. Инвестиционный план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967"/>
        <w:gridCol w:w="1547"/>
        <w:gridCol w:w="1424"/>
        <w:gridCol w:w="2918"/>
      </w:tblGrid>
      <w:tr w:rsidR="00A42965">
        <w:tc>
          <w:tcPr>
            <w:tcW w:w="3600" w:type="dxa"/>
          </w:tcPr>
          <w:p w:rsidR="00A42965" w:rsidRDefault="005F4DC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Статья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расходов</w:t>
            </w:r>
            <w:proofErr w:type="spellEnd"/>
          </w:p>
        </w:tc>
        <w:tc>
          <w:tcPr>
            <w:tcW w:w="1872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Сумма, млн руб.</w:t>
            </w:r>
          </w:p>
        </w:tc>
        <w:tc>
          <w:tcPr>
            <w:tcW w:w="1728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Сроки</w:t>
            </w:r>
          </w:p>
        </w:tc>
        <w:tc>
          <w:tcPr>
            <w:tcW w:w="3600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Примечание</w:t>
            </w:r>
          </w:p>
        </w:tc>
      </w:tr>
      <w:tr w:rsidR="00A42965"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Доклинические испытания (фармакология, токсикология)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8–12</w:t>
            </w:r>
          </w:p>
        </w:tc>
        <w:tc>
          <w:tcPr>
            <w:tcW w:w="1728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12–18 мес.</w:t>
            </w:r>
          </w:p>
        </w:tc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Вкл. in vitro и in vivo</w:t>
            </w:r>
          </w:p>
        </w:tc>
      </w:tr>
      <w:tr w:rsidR="00A42965">
        <w:tc>
          <w:tcPr>
            <w:tcW w:w="360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Разработка НД (ТУ, технологическая инструкция)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2–3</w:t>
            </w:r>
          </w:p>
        </w:tc>
        <w:tc>
          <w:tcPr>
            <w:tcW w:w="1728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6–9 мес.</w:t>
            </w:r>
          </w:p>
        </w:tc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Для серийного производства</w:t>
            </w:r>
          </w:p>
        </w:tc>
      </w:tr>
      <w:tr w:rsidR="00A42965">
        <w:tc>
          <w:tcPr>
            <w:tcW w:w="360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Государственная регистрация БАД (Вариант А)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1,5–2,5</w:t>
            </w:r>
          </w:p>
        </w:tc>
        <w:tc>
          <w:tcPr>
            <w:tcW w:w="1728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6–12 мес.</w:t>
            </w:r>
          </w:p>
        </w:tc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Заявительный порядок</w:t>
            </w:r>
          </w:p>
        </w:tc>
      </w:tr>
      <w:tr w:rsidR="00A42965"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Пилотная партия (5 000–10 000 уп.)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1,5–2,5</w:t>
            </w:r>
          </w:p>
        </w:tc>
        <w:tc>
          <w:tcPr>
            <w:tcW w:w="1728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3 мес.</w:t>
            </w:r>
          </w:p>
        </w:tc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Производство на мощностях партнёра</w:t>
            </w:r>
          </w:p>
        </w:tc>
      </w:tr>
      <w:tr w:rsidR="00A42965" w:rsidRPr="005F4DC0"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Маркетинг и продвижение (запуск)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4–6</w:t>
            </w:r>
          </w:p>
        </w:tc>
        <w:tc>
          <w:tcPr>
            <w:tcW w:w="1728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6–12 мес.</w:t>
            </w:r>
          </w:p>
        </w:tc>
        <w:tc>
          <w:tcPr>
            <w:tcW w:w="360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Вкл. вход в аптечные сети,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маркетплейсы</w:t>
            </w:r>
            <w:proofErr w:type="spellEnd"/>
          </w:p>
        </w:tc>
      </w:tr>
      <w:tr w:rsidR="00A42965" w:rsidRPr="005F4DC0">
        <w:tc>
          <w:tcPr>
            <w:tcW w:w="360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Регистрация мед. изделия (Вариант</w:t>
            </w:r>
            <w:proofErr w:type="gram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Б</w:t>
            </w:r>
            <w:proofErr w:type="gram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, опционально)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5–8</w:t>
            </w:r>
          </w:p>
        </w:tc>
        <w:tc>
          <w:tcPr>
            <w:tcW w:w="1728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18–24 мес.</w:t>
            </w:r>
          </w:p>
        </w:tc>
        <w:tc>
          <w:tcPr>
            <w:tcW w:w="360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При переходе к медицинскому продукту</w:t>
            </w:r>
          </w:p>
        </w:tc>
      </w:tr>
      <w:tr w:rsidR="00A42965">
        <w:tc>
          <w:tcPr>
            <w:tcW w:w="360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Непредвиденные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расходы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(10%)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2–3</w:t>
            </w:r>
          </w:p>
        </w:tc>
        <w:tc>
          <w:tcPr>
            <w:tcW w:w="1728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Резерв</w:t>
            </w:r>
          </w:p>
        </w:tc>
      </w:tr>
      <w:tr w:rsidR="00A42965"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b/>
                <w:sz w:val="20"/>
              </w:rPr>
              <w:t>ИТОГО (Вариант А)</w:t>
            </w:r>
          </w:p>
        </w:tc>
        <w:tc>
          <w:tcPr>
            <w:tcW w:w="1872" w:type="dxa"/>
          </w:tcPr>
          <w:p w:rsidR="00A42965" w:rsidRDefault="005F4DC0">
            <w:r>
              <w:rPr>
                <w:rFonts w:ascii="Times New Roman" w:eastAsia="Times New Roman" w:hAnsi="Times New Roman"/>
                <w:b/>
                <w:sz w:val="20"/>
              </w:rPr>
              <w:t>19–29</w:t>
            </w:r>
          </w:p>
        </w:tc>
        <w:tc>
          <w:tcPr>
            <w:tcW w:w="1728" w:type="dxa"/>
          </w:tcPr>
          <w:p w:rsidR="00A42965" w:rsidRDefault="005F4DC0">
            <w:r>
              <w:rPr>
                <w:rFonts w:ascii="Times New Roman" w:eastAsia="Times New Roman" w:hAnsi="Times New Roman"/>
                <w:b/>
                <w:sz w:val="20"/>
              </w:rPr>
              <w:t>18–24 мес.</w:t>
            </w:r>
          </w:p>
        </w:tc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b/>
                <w:sz w:val="20"/>
              </w:rPr>
              <w:t>До начала коммерческих продаж</w:t>
            </w:r>
          </w:p>
        </w:tc>
      </w:tr>
    </w:tbl>
    <w:p w:rsidR="00A42965" w:rsidRDefault="00A42965"/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6633"/>
          <w:sz w:val="24"/>
          <w:lang w:val="ru-RU"/>
        </w:rPr>
        <w:t>7.2. Финансовая модель (Вариант</w:t>
      </w:r>
      <w:proofErr w:type="gramStart"/>
      <w:r w:rsidRPr="005F4DC0">
        <w:rPr>
          <w:rFonts w:ascii="Times New Roman" w:eastAsia="Times New Roman" w:hAnsi="Times New Roman"/>
          <w:b/>
          <w:color w:val="006633"/>
          <w:sz w:val="24"/>
          <w:lang w:val="ru-RU"/>
        </w:rPr>
        <w:t xml:space="preserve"> А</w:t>
      </w:r>
      <w:proofErr w:type="gramEnd"/>
      <w:r w:rsidRPr="005F4DC0">
        <w:rPr>
          <w:rFonts w:ascii="Times New Roman" w:eastAsia="Times New Roman" w:hAnsi="Times New Roman"/>
          <w:b/>
          <w:color w:val="006633"/>
          <w:sz w:val="24"/>
          <w:lang w:val="ru-RU"/>
        </w:rPr>
        <w:t xml:space="preserve"> — БАД/косметика)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261"/>
        <w:gridCol w:w="2557"/>
        <w:gridCol w:w="3038"/>
      </w:tblGrid>
      <w:tr w:rsidR="00A42965">
        <w:tc>
          <w:tcPr>
            <w:tcW w:w="3600" w:type="dxa"/>
          </w:tcPr>
          <w:p w:rsidR="00A42965" w:rsidRDefault="005F4DC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Показатель</w:t>
            </w:r>
            <w:proofErr w:type="spellEnd"/>
          </w:p>
        </w:tc>
        <w:tc>
          <w:tcPr>
            <w:tcW w:w="2880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Значение</w:t>
            </w:r>
          </w:p>
        </w:tc>
        <w:tc>
          <w:tcPr>
            <w:tcW w:w="3312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Примечание</w:t>
            </w:r>
          </w:p>
        </w:tc>
      </w:tr>
      <w:tr w:rsidR="00A42965" w:rsidRPr="005F4DC0"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Розничная цена</w:t>
            </w:r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450–800 руб./уп.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Зависит от канала и региона</w:t>
            </w:r>
          </w:p>
        </w:tc>
      </w:tr>
      <w:tr w:rsidR="00A42965">
        <w:tc>
          <w:tcPr>
            <w:tcW w:w="360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Цена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отгрузки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производителю</w:t>
            </w:r>
            <w:proofErr w:type="spellEnd"/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250–400 руб./уп.</w:t>
            </w:r>
          </w:p>
        </w:tc>
        <w:tc>
          <w:tcPr>
            <w:tcW w:w="331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При работе через дистрибьютора</w:t>
            </w:r>
          </w:p>
        </w:tc>
      </w:tr>
      <w:tr w:rsidR="00A42965" w:rsidRPr="005F4DC0"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Себестоимость производства</w:t>
            </w:r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80–120 руб./уп.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При серийном производстве ≥50 000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уп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./год</w:t>
            </w:r>
          </w:p>
        </w:tc>
      </w:tr>
      <w:tr w:rsidR="00A42965">
        <w:tc>
          <w:tcPr>
            <w:tcW w:w="360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Маржинальная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прибыль</w:t>
            </w:r>
            <w:proofErr w:type="spellEnd"/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130–280 руб./уп.</w:t>
            </w:r>
          </w:p>
        </w:tc>
        <w:tc>
          <w:tcPr>
            <w:tcW w:w="331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Зависит от канала сбыта</w:t>
            </w:r>
          </w:p>
        </w:tc>
      </w:tr>
      <w:tr w:rsidR="00A42965"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Маржинальность</w:t>
            </w:r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50–70%</w:t>
            </w:r>
          </w:p>
        </w:tc>
        <w:tc>
          <w:tcPr>
            <w:tcW w:w="331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 xml:space="preserve">Выше среднерыночной </w:t>
            </w:r>
            <w:r>
              <w:rPr>
                <w:rFonts w:ascii="Times New Roman" w:eastAsia="Times New Roman" w:hAnsi="Times New Roman"/>
                <w:sz w:val="20"/>
              </w:rPr>
              <w:t>для БАД</w:t>
            </w:r>
          </w:p>
        </w:tc>
      </w:tr>
      <w:tr w:rsidR="00A42965" w:rsidRPr="005F4DC0"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Точка безубыточности</w:t>
            </w:r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60 000–100 000 уп./год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При средней цене отгрузки 300 руб.</w:t>
            </w:r>
          </w:p>
        </w:tc>
      </w:tr>
      <w:tr w:rsidR="00A42965" w:rsidRPr="005F4DC0">
        <w:tc>
          <w:tcPr>
            <w:tcW w:w="360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Прогноз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продаж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1)</w:t>
            </w:r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80 000–150 000 уп.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С учётом выхода на ключевые каналы</w:t>
            </w:r>
          </w:p>
        </w:tc>
      </w:tr>
      <w:tr w:rsidR="00A42965">
        <w:tc>
          <w:tcPr>
            <w:tcW w:w="360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Прогноз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продаж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2)</w:t>
            </w:r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200 000–350 000 уп.</w:t>
            </w:r>
          </w:p>
        </w:tc>
        <w:tc>
          <w:tcPr>
            <w:tcW w:w="331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При расширении дистрибуции</w:t>
            </w:r>
          </w:p>
        </w:tc>
      </w:tr>
      <w:tr w:rsidR="00A42965" w:rsidRPr="005F4DC0"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Выручка (год 1)</w:t>
            </w:r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20–45 млн руб.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При средней цене отгрузки 300 руб.</w:t>
            </w:r>
          </w:p>
        </w:tc>
      </w:tr>
      <w:tr w:rsidR="00A42965">
        <w:tc>
          <w:tcPr>
            <w:tcW w:w="360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Выручка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2)</w:t>
            </w:r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60–105 млн руб.</w:t>
            </w:r>
          </w:p>
        </w:tc>
        <w:tc>
          <w:tcPr>
            <w:tcW w:w="331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При масштабировании</w:t>
            </w:r>
          </w:p>
        </w:tc>
      </w:tr>
      <w:tr w:rsidR="00A42965"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Чистая прибыль (год 1)</w:t>
            </w:r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5–15 млн руб.</w:t>
            </w:r>
          </w:p>
        </w:tc>
        <w:tc>
          <w:tcPr>
            <w:tcW w:w="331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После вычета операционных расходов</w:t>
            </w:r>
          </w:p>
        </w:tc>
      </w:tr>
      <w:tr w:rsidR="00A42965" w:rsidRPr="005F4DC0">
        <w:tc>
          <w:tcPr>
            <w:tcW w:w="360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Чистая прибыль (год 2)</w:t>
            </w:r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25–50 млн руб.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При достижении экономии на масштабе</w:t>
            </w:r>
          </w:p>
        </w:tc>
      </w:tr>
      <w:tr w:rsidR="00A42965">
        <w:tc>
          <w:tcPr>
            <w:tcW w:w="360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окупаемости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инвестиций</w:t>
            </w:r>
            <w:proofErr w:type="spellEnd"/>
          </w:p>
        </w:tc>
        <w:tc>
          <w:tcPr>
            <w:tcW w:w="288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18–30 мес.</w:t>
            </w:r>
          </w:p>
        </w:tc>
        <w:tc>
          <w:tcPr>
            <w:tcW w:w="3312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Оптимистичный сценарий</w:t>
            </w:r>
          </w:p>
        </w:tc>
      </w:tr>
    </w:tbl>
    <w:p w:rsidR="00A42965" w:rsidRDefault="00A42965"/>
    <w:p w:rsidR="00A42965" w:rsidRDefault="005F4DC0">
      <w:r>
        <w:rPr>
          <w:rFonts w:ascii="Times New Roman" w:eastAsia="Times New Roman" w:hAnsi="Times New Roman"/>
          <w:b/>
          <w:color w:val="006633"/>
          <w:sz w:val="24"/>
        </w:rPr>
        <w:t>7.3. Сценарии развития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992"/>
        <w:gridCol w:w="1412"/>
        <w:gridCol w:w="2840"/>
        <w:gridCol w:w="2612"/>
      </w:tblGrid>
      <w:tr w:rsidR="00A42965">
        <w:tc>
          <w:tcPr>
            <w:tcW w:w="2160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Сценарий</w:t>
            </w:r>
          </w:p>
        </w:tc>
        <w:tc>
          <w:tcPr>
            <w:tcW w:w="1440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Вероятность</w:t>
            </w:r>
          </w:p>
        </w:tc>
        <w:tc>
          <w:tcPr>
            <w:tcW w:w="3600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Описание</w:t>
            </w:r>
          </w:p>
        </w:tc>
        <w:tc>
          <w:tcPr>
            <w:tcW w:w="3312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Финансовый результат</w:t>
            </w:r>
          </w:p>
        </w:tc>
      </w:tr>
      <w:tr w:rsidR="00A42965" w:rsidRPr="005F4DC0">
        <w:tc>
          <w:tcPr>
            <w:tcW w:w="216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Пессимистичный</w:t>
            </w:r>
          </w:p>
        </w:tc>
        <w:tc>
          <w:tcPr>
            <w:tcW w:w="144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25%</w:t>
            </w:r>
          </w:p>
        </w:tc>
        <w:tc>
          <w:tcPr>
            <w:tcW w:w="360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Задержки в регистрации, слабый маркетинг, низкое признание бренда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Окупаемость 36+ мес., выручка год 1: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&lt;15 </w:t>
            </w:r>
            <w:proofErr w:type="gram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млн</w:t>
            </w:r>
            <w:proofErr w:type="gram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руб.</w:t>
            </w:r>
          </w:p>
        </w:tc>
      </w:tr>
      <w:tr w:rsidR="00A42965" w:rsidRPr="005F4DC0">
        <w:tc>
          <w:tcPr>
            <w:tcW w:w="216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Реалистичный</w:t>
            </w:r>
            <w:proofErr w:type="spellEnd"/>
          </w:p>
        </w:tc>
        <w:tc>
          <w:tcPr>
            <w:tcW w:w="144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50%</w:t>
            </w:r>
          </w:p>
        </w:tc>
        <w:tc>
          <w:tcPr>
            <w:tcW w:w="360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Своевременная регистрация, вход в региональные аптечные сети и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маркетплейсы</w:t>
            </w:r>
            <w:proofErr w:type="spellEnd"/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Окупаемость 24–30 мес., выручка год 1: 20–45 </w:t>
            </w:r>
            <w:proofErr w:type="gram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млн</w:t>
            </w:r>
            <w:proofErr w:type="gram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руб.</w:t>
            </w:r>
          </w:p>
        </w:tc>
      </w:tr>
      <w:tr w:rsidR="00A42965" w:rsidRPr="005F4DC0">
        <w:tc>
          <w:tcPr>
            <w:tcW w:w="216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Оптимистичный</w:t>
            </w:r>
            <w:proofErr w:type="spellEnd"/>
          </w:p>
        </w:tc>
        <w:tc>
          <w:tcPr>
            <w:tcW w:w="144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25%</w:t>
            </w:r>
          </w:p>
        </w:tc>
        <w:tc>
          <w:tcPr>
            <w:tcW w:w="3600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Быстрая регистрация, контракты с федеральными сетями (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Аптека</w:t>
            </w:r>
            <w:proofErr w:type="gram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.р</w:t>
            </w:r>
            <w:proofErr w:type="gram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у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, Самсон-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фар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ма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), </w:t>
            </w:r>
            <w:r>
              <w:rPr>
                <w:rFonts w:ascii="Times New Roman" w:eastAsia="Times New Roman" w:hAnsi="Times New Roman"/>
                <w:sz w:val="20"/>
              </w:rPr>
              <w:t>viral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-маркетинг</w:t>
            </w:r>
          </w:p>
        </w:tc>
        <w:tc>
          <w:tcPr>
            <w:tcW w:w="3312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Окупаемость 12–18 мес., выручка год 1: 50+ </w:t>
            </w:r>
            <w:proofErr w:type="gram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млн</w:t>
            </w:r>
            <w:proofErr w:type="gram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руб.</w:t>
            </w:r>
          </w:p>
        </w:tc>
      </w:tr>
    </w:tbl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8. РЕГУЛИРОВАНИЕ И ЗАКОНОДАТЕЛЬСТВО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Нормативные требования для Варианта</w:t>
      </w:r>
      <w:proofErr w:type="gramStart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А</w:t>
      </w:r>
      <w:proofErr w:type="gram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(БАД):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Федеральный закон от 02.01.2000 № 29-ФЗ «О качестве и безопасности пищевых продуктов»;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Технический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регламент Таможенного союза </w:t>
      </w:r>
      <w:proofErr w:type="gramStart"/>
      <w:r w:rsidRPr="005F4DC0">
        <w:rPr>
          <w:rFonts w:ascii="Times New Roman" w:eastAsia="Times New Roman" w:hAnsi="Times New Roman"/>
          <w:sz w:val="24"/>
          <w:lang w:val="ru-RU"/>
        </w:rPr>
        <w:t>ТР</w:t>
      </w:r>
      <w:proofErr w:type="gramEnd"/>
      <w:r w:rsidRPr="005F4DC0">
        <w:rPr>
          <w:rFonts w:ascii="Times New Roman" w:eastAsia="Times New Roman" w:hAnsi="Times New Roman"/>
          <w:sz w:val="24"/>
          <w:lang w:val="ru-RU"/>
        </w:rPr>
        <w:t xml:space="preserve"> ТС 021/2011 «О безопасности пищевой продукции»;</w:t>
      </w:r>
    </w:p>
    <w:p w:rsidR="00A42965" w:rsidRPr="005F4DC0" w:rsidRDefault="005F4DC0">
      <w:pPr>
        <w:pStyle w:val="a0"/>
        <w:rPr>
          <w:lang w:val="ru-RU"/>
        </w:rPr>
      </w:pPr>
      <w:proofErr w:type="gramStart"/>
      <w:r w:rsidRPr="005F4DC0">
        <w:rPr>
          <w:rFonts w:ascii="Times New Roman" w:eastAsia="Times New Roman" w:hAnsi="Times New Roman"/>
          <w:sz w:val="24"/>
          <w:lang w:val="ru-RU"/>
        </w:rPr>
        <w:t>ТР</w:t>
      </w:r>
      <w:proofErr w:type="gramEnd"/>
      <w:r w:rsidRPr="005F4DC0">
        <w:rPr>
          <w:rFonts w:ascii="Times New Roman" w:eastAsia="Times New Roman" w:hAnsi="Times New Roman"/>
          <w:sz w:val="24"/>
          <w:lang w:val="ru-RU"/>
        </w:rPr>
        <w:t xml:space="preserve"> ТС 022/2011 «Пищевая продукция в части её маркировки»;</w:t>
      </w:r>
    </w:p>
    <w:p w:rsidR="00A42965" w:rsidRPr="005F4DC0" w:rsidRDefault="005F4DC0">
      <w:pPr>
        <w:pStyle w:val="a0"/>
        <w:rPr>
          <w:lang w:val="ru-RU"/>
        </w:rPr>
      </w:pPr>
      <w:proofErr w:type="gramStart"/>
      <w:r w:rsidRPr="005F4DC0">
        <w:rPr>
          <w:rFonts w:ascii="Times New Roman" w:eastAsia="Times New Roman" w:hAnsi="Times New Roman"/>
          <w:sz w:val="24"/>
          <w:lang w:val="ru-RU"/>
        </w:rPr>
        <w:t>ТР</w:t>
      </w:r>
      <w:proofErr w:type="gramEnd"/>
      <w:r w:rsidRPr="005F4DC0">
        <w:rPr>
          <w:rFonts w:ascii="Times New Roman" w:eastAsia="Times New Roman" w:hAnsi="Times New Roman"/>
          <w:sz w:val="24"/>
          <w:lang w:val="ru-RU"/>
        </w:rPr>
        <w:t xml:space="preserve"> ТС 029/2012 «Требования безопасности пищевых добавок,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ароматизаторов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и технологических вспомогательных средств»;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Пос</w:t>
      </w:r>
      <w:r w:rsidRPr="005F4DC0">
        <w:rPr>
          <w:rFonts w:ascii="Times New Roman" w:eastAsia="Times New Roman" w:hAnsi="Times New Roman"/>
          <w:sz w:val="24"/>
          <w:lang w:val="ru-RU"/>
        </w:rPr>
        <w:t>тановление Правительства РФ от 15.08.2020 № 1273 «О государственной регистрации БАД»;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lastRenderedPageBreak/>
        <w:t>Приказ Минздрава РФ от 05.11.2020 № 919н «Об утверждении правил регистрации БАД»;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СанПиН 2.3.2.1078-01 «Гигиенические требования к безопасности пищевых добавок».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Норматив</w:t>
      </w:r>
      <w:r w:rsidRPr="005F4DC0">
        <w:rPr>
          <w:rFonts w:ascii="Times New Roman" w:eastAsia="Times New Roman" w:hAnsi="Times New Roman"/>
          <w:b/>
          <w:sz w:val="24"/>
          <w:lang w:val="ru-RU"/>
        </w:rPr>
        <w:t>ные требования для Варианта</w:t>
      </w:r>
      <w:proofErr w:type="gramStart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Б</w:t>
      </w:r>
      <w:proofErr w:type="gram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(медицинское изделие/препарат):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Федеральный закон от 12.04.2010 № 61-ФЗ «Об обращении лекарственных средств»;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Федеральный закон от 27.12.2019 № 430-ФЗ «О техническом регулировании» (для медицинских изделий);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Правила проведения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 доклинических исследований лекарственных препаратов (Приказ Минздрава РФ от 01.09.2010 № 708н);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Правила проведения клинических исследований лекарственных препаратов (Приказ Минздрава РФ от 19.12.2017 № 983н);</w:t>
      </w:r>
    </w:p>
    <w:p w:rsidR="00A42965" w:rsidRDefault="005F4DC0">
      <w:pPr>
        <w:pStyle w:val="a0"/>
      </w:pPr>
      <w:proofErr w:type="spellStart"/>
      <w:r>
        <w:rPr>
          <w:rFonts w:ascii="Times New Roman" w:eastAsia="Times New Roman" w:hAnsi="Times New Roman"/>
          <w:sz w:val="24"/>
        </w:rPr>
        <w:t>Государственная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регистрация</w:t>
      </w:r>
      <w:proofErr w:type="spellEnd"/>
      <w:r>
        <w:rPr>
          <w:rFonts w:ascii="Times New Roman" w:eastAsia="Times New Roman" w:hAnsi="Times New Roman"/>
          <w:sz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</w:rPr>
        <w:t>Росздравнадзоре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Ограничения и запреты: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Прямых запретов на применение технологии не установлено. Ограничения связаны с необходимостью соблюдения требований к безопасности (токсикологическая и микробиологическая безопасность) и маркировке (запрет на лечебные заявления при </w:t>
      </w:r>
      <w:r w:rsidRPr="005F4DC0">
        <w:rPr>
          <w:rFonts w:ascii="Times New Roman" w:eastAsia="Times New Roman" w:hAnsi="Times New Roman"/>
          <w:sz w:val="24"/>
          <w:lang w:val="ru-RU"/>
        </w:rPr>
        <w:t>регистрации как БАД).</w:t>
      </w:r>
    </w:p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9. ПОТЕНЦИАЛЬНЫЕ ИНДУСТРИАЛЬНЫЕ ПАРТНЁРЫ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ООО «Фито-</w:t>
      </w:r>
      <w:proofErr w:type="spellStart"/>
      <w:r w:rsidRPr="005F4DC0">
        <w:rPr>
          <w:rFonts w:ascii="Times New Roman" w:eastAsia="Times New Roman" w:hAnsi="Times New Roman"/>
          <w:b/>
          <w:sz w:val="24"/>
          <w:lang w:val="ru-RU"/>
        </w:rPr>
        <w:t>Фарм</w:t>
      </w:r>
      <w:proofErr w:type="spell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» (Анапа):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Производство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фитопрепаратов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и БАД, опыт регистрации, готовые производственные мощности;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ООО «</w:t>
      </w:r>
      <w:proofErr w:type="spellStart"/>
      <w:r w:rsidRPr="005F4DC0">
        <w:rPr>
          <w:rFonts w:ascii="Times New Roman" w:eastAsia="Times New Roman" w:hAnsi="Times New Roman"/>
          <w:b/>
          <w:sz w:val="24"/>
          <w:lang w:val="ru-RU"/>
        </w:rPr>
        <w:t>Красногорсклектравы</w:t>
      </w:r>
      <w:proofErr w:type="spell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»: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Крупный производитель лекарственных растений и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фитопрепаратов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>, вход в федеральные сети;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ООО «</w:t>
      </w:r>
      <w:proofErr w:type="spellStart"/>
      <w:r w:rsidRPr="005F4DC0">
        <w:rPr>
          <w:rFonts w:ascii="Times New Roman" w:eastAsia="Times New Roman" w:hAnsi="Times New Roman"/>
          <w:b/>
          <w:sz w:val="24"/>
          <w:lang w:val="ru-RU"/>
        </w:rPr>
        <w:t>Эвалар</w:t>
      </w:r>
      <w:proofErr w:type="spell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»: </w:t>
      </w:r>
      <w:r w:rsidRPr="005F4DC0">
        <w:rPr>
          <w:rFonts w:ascii="Times New Roman" w:eastAsia="Times New Roman" w:hAnsi="Times New Roman"/>
          <w:sz w:val="24"/>
          <w:lang w:val="ru-RU"/>
        </w:rPr>
        <w:t>Лидер рынка БАД, развитая дистрибуция, сильный маркетинг;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АО «Фармстандарт»: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Фармацевтический холдинг, интерес к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импортозамещению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и инновационным разработкам;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АО «Акрихин»: </w:t>
      </w:r>
      <w:r w:rsidRPr="005F4DC0">
        <w:rPr>
          <w:rFonts w:ascii="Times New Roman" w:eastAsia="Times New Roman" w:hAnsi="Times New Roman"/>
          <w:sz w:val="24"/>
          <w:lang w:val="ru-RU"/>
        </w:rPr>
        <w:t>Опыт в дерматологии, потенци</w:t>
      </w:r>
      <w:r w:rsidRPr="005F4DC0">
        <w:rPr>
          <w:rFonts w:ascii="Times New Roman" w:eastAsia="Times New Roman" w:hAnsi="Times New Roman"/>
          <w:sz w:val="24"/>
          <w:lang w:val="ru-RU"/>
        </w:rPr>
        <w:t>ал для развития портфеля наружных форм;</w:t>
      </w:r>
    </w:p>
    <w:p w:rsidR="00A42965" w:rsidRPr="005F4DC0" w:rsidRDefault="005F4DC0">
      <w:pPr>
        <w:rPr>
          <w:lang w:val="ru-RU"/>
        </w:rPr>
      </w:pPr>
      <w:proofErr w:type="spellStart"/>
      <w:r w:rsidRPr="005F4DC0">
        <w:rPr>
          <w:rFonts w:ascii="Times New Roman" w:eastAsia="Times New Roman" w:hAnsi="Times New Roman"/>
          <w:b/>
          <w:sz w:val="24"/>
          <w:lang w:val="ru-RU"/>
        </w:rPr>
        <w:t>Маркетплейсы</w:t>
      </w:r>
      <w:proofErr w:type="spell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b/>
          <w:sz w:val="24"/>
        </w:rPr>
        <w:t>Ozon</w:t>
      </w:r>
      <w:proofErr w:type="spell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</w:rPr>
        <w:t>Wildberries</w:t>
      </w:r>
      <w:proofErr w:type="spell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, </w:t>
      </w:r>
      <w:proofErr w:type="spellStart"/>
      <w:r w:rsidRPr="005F4DC0">
        <w:rPr>
          <w:rFonts w:ascii="Times New Roman" w:eastAsia="Times New Roman" w:hAnsi="Times New Roman"/>
          <w:b/>
          <w:sz w:val="24"/>
          <w:lang w:val="ru-RU"/>
        </w:rPr>
        <w:t>Яндекс</w:t>
      </w:r>
      <w:proofErr w:type="gramStart"/>
      <w:r w:rsidRPr="005F4DC0">
        <w:rPr>
          <w:rFonts w:ascii="Times New Roman" w:eastAsia="Times New Roman" w:hAnsi="Times New Roman"/>
          <w:b/>
          <w:sz w:val="24"/>
          <w:lang w:val="ru-RU"/>
        </w:rPr>
        <w:t>.М</w:t>
      </w:r>
      <w:proofErr w:type="gramEnd"/>
      <w:r w:rsidRPr="005F4DC0">
        <w:rPr>
          <w:rFonts w:ascii="Times New Roman" w:eastAsia="Times New Roman" w:hAnsi="Times New Roman"/>
          <w:b/>
          <w:sz w:val="24"/>
          <w:lang w:val="ru-RU"/>
        </w:rPr>
        <w:t>аркет</w:t>
      </w:r>
      <w:proofErr w:type="spell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): </w:t>
      </w:r>
      <w:r w:rsidRPr="005F4DC0">
        <w:rPr>
          <w:rFonts w:ascii="Times New Roman" w:eastAsia="Times New Roman" w:hAnsi="Times New Roman"/>
          <w:sz w:val="24"/>
          <w:lang w:val="ru-RU"/>
        </w:rPr>
        <w:t>Каналы для прямых продаж и тестирования спроса на пилотных партиях.</w:t>
      </w:r>
    </w:p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lastRenderedPageBreak/>
        <w:t>10. КОМАНДА ПРОЕКТА</w:t>
      </w:r>
    </w:p>
    <w:p w:rsidR="00A42965" w:rsidRPr="005F4DC0" w:rsidRDefault="005F4DC0" w:rsidP="005F4DC0">
      <w:pPr>
        <w:jc w:val="both"/>
        <w:rPr>
          <w:lang w:val="ru-RU"/>
        </w:rPr>
      </w:pPr>
      <w:proofErr w:type="spellStart"/>
      <w:r w:rsidRPr="005F4DC0">
        <w:rPr>
          <w:rFonts w:ascii="Times New Roman" w:eastAsia="Times New Roman" w:hAnsi="Times New Roman"/>
          <w:b/>
          <w:sz w:val="24"/>
          <w:lang w:val="ru-RU"/>
        </w:rPr>
        <w:t>Бабков</w:t>
      </w:r>
      <w:proofErr w:type="spell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Д.А. —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доктор фармацевтических наук, проректор по научной деятельности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ВолгГМУ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Минздрава России. </w:t>
      </w:r>
      <w:r w:rsidRPr="005F4DC0">
        <w:rPr>
          <w:rFonts w:ascii="Times New Roman" w:eastAsia="Times New Roman" w:hAnsi="Times New Roman"/>
          <w:i/>
          <w:sz w:val="24"/>
          <w:lang w:val="ru-RU"/>
        </w:rPr>
        <w:t>Роль в проекте: Научное руководство, стратегия развития.</w:t>
      </w:r>
    </w:p>
    <w:p w:rsidR="005F4DC0" w:rsidRDefault="005F4DC0" w:rsidP="005F4DC0">
      <w:pPr>
        <w:jc w:val="both"/>
        <w:rPr>
          <w:rFonts w:ascii="Times New Roman" w:eastAsia="Times New Roman" w:hAnsi="Times New Roman"/>
          <w:i/>
          <w:sz w:val="24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Оленников Д.Н. —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доктор фармацевтических наук, зав. лабораторией медико-биологических исследований ИОЭБ СО РАН. </w:t>
      </w:r>
      <w:r w:rsidRPr="005F4DC0">
        <w:rPr>
          <w:rFonts w:ascii="Times New Roman" w:eastAsia="Times New Roman" w:hAnsi="Times New Roman"/>
          <w:i/>
          <w:sz w:val="24"/>
          <w:lang w:val="ru-RU"/>
        </w:rPr>
        <w:t xml:space="preserve">Роль в проекте: </w:t>
      </w:r>
      <w:r>
        <w:rPr>
          <w:rFonts w:ascii="Times New Roman" w:eastAsia="Times New Roman" w:hAnsi="Times New Roman"/>
          <w:i/>
          <w:sz w:val="24"/>
          <w:lang w:val="ru-RU"/>
        </w:rPr>
        <w:t>фитохимические исследования.</w:t>
      </w:r>
    </w:p>
    <w:p w:rsidR="00A42965" w:rsidRPr="005F4DC0" w:rsidRDefault="005F4DC0" w:rsidP="005F4DC0">
      <w:pPr>
        <w:jc w:val="both"/>
        <w:rPr>
          <w:lang w:val="ru-RU"/>
        </w:rPr>
      </w:pPr>
      <w:proofErr w:type="spellStart"/>
      <w:r w:rsidRPr="005F4DC0">
        <w:rPr>
          <w:rFonts w:ascii="Times New Roman" w:eastAsia="Times New Roman" w:hAnsi="Times New Roman"/>
          <w:b/>
          <w:sz w:val="24"/>
          <w:lang w:val="ru-RU"/>
        </w:rPr>
        <w:t>Шам</w:t>
      </w:r>
      <w:r w:rsidRPr="005F4DC0">
        <w:rPr>
          <w:rFonts w:ascii="Times New Roman" w:eastAsia="Times New Roman" w:hAnsi="Times New Roman"/>
          <w:b/>
          <w:sz w:val="24"/>
          <w:lang w:val="ru-RU"/>
        </w:rPr>
        <w:t>илов</w:t>
      </w:r>
      <w:proofErr w:type="spell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А.А. —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доктор фармацевтических наук, профессор кафедры фармацевтической химии и фармакогнозии. </w:t>
      </w:r>
      <w:r w:rsidRPr="005F4DC0">
        <w:rPr>
          <w:rFonts w:ascii="Times New Roman" w:eastAsia="Times New Roman" w:hAnsi="Times New Roman"/>
          <w:i/>
          <w:sz w:val="24"/>
          <w:lang w:val="ru-RU"/>
        </w:rPr>
        <w:t xml:space="preserve">Роль в проекте: </w:t>
      </w:r>
      <w:r w:rsidRPr="005F4DC0">
        <w:rPr>
          <w:rFonts w:ascii="Times New Roman" w:eastAsia="Times New Roman" w:hAnsi="Times New Roman"/>
          <w:i/>
          <w:sz w:val="24"/>
          <w:lang w:val="ru-RU"/>
        </w:rPr>
        <w:t>стандартизация сырья.</w:t>
      </w:r>
    </w:p>
    <w:p w:rsidR="00A42965" w:rsidRPr="005F4DC0" w:rsidRDefault="005F4DC0" w:rsidP="005F4DC0">
      <w:pPr>
        <w:jc w:val="both"/>
        <w:rPr>
          <w:lang w:val="ru-RU"/>
        </w:rPr>
      </w:pPr>
      <w:proofErr w:type="spellStart"/>
      <w:r w:rsidRPr="005F4DC0">
        <w:rPr>
          <w:rFonts w:ascii="Times New Roman" w:eastAsia="Times New Roman" w:hAnsi="Times New Roman"/>
          <w:b/>
          <w:sz w:val="24"/>
          <w:lang w:val="ru-RU"/>
        </w:rPr>
        <w:t>Компанцев</w:t>
      </w:r>
      <w:proofErr w:type="spell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Д.В. —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доктор фармацевтических наук, зав. кафедрой фармацевтической технологии с курсом медицинской биотехнологии. </w:t>
      </w:r>
      <w:r w:rsidRPr="005F4DC0">
        <w:rPr>
          <w:rFonts w:ascii="Times New Roman" w:eastAsia="Times New Roman" w:hAnsi="Times New Roman"/>
          <w:i/>
          <w:sz w:val="24"/>
          <w:lang w:val="ru-RU"/>
        </w:rPr>
        <w:t>Роль в проекте: Разработка лекарственной формы, те</w:t>
      </w:r>
      <w:bookmarkStart w:id="0" w:name="_GoBack"/>
      <w:bookmarkEnd w:id="0"/>
      <w:r w:rsidRPr="005F4DC0">
        <w:rPr>
          <w:rFonts w:ascii="Times New Roman" w:eastAsia="Times New Roman" w:hAnsi="Times New Roman"/>
          <w:i/>
          <w:sz w:val="24"/>
          <w:lang w:val="ru-RU"/>
        </w:rPr>
        <w:t>хнология.</w:t>
      </w:r>
    </w:p>
    <w:p w:rsidR="00A42965" w:rsidRPr="005F4DC0" w:rsidRDefault="005F4DC0" w:rsidP="005F4DC0">
      <w:pPr>
        <w:jc w:val="both"/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Поздняков Д.И. — </w:t>
      </w:r>
      <w:r w:rsidRPr="005F4DC0">
        <w:rPr>
          <w:rFonts w:ascii="Times New Roman" w:eastAsia="Times New Roman" w:hAnsi="Times New Roman"/>
          <w:sz w:val="24"/>
          <w:lang w:val="ru-RU"/>
        </w:rPr>
        <w:t>доктор фармацевтических наук, зав. кафедрой фармакологии с курсом клини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ческой фармакологии. </w:t>
      </w:r>
      <w:r w:rsidRPr="005F4DC0">
        <w:rPr>
          <w:rFonts w:ascii="Times New Roman" w:eastAsia="Times New Roman" w:hAnsi="Times New Roman"/>
          <w:i/>
          <w:sz w:val="24"/>
          <w:lang w:val="ru-RU"/>
        </w:rPr>
        <w:t xml:space="preserve">Роль в проекте: </w:t>
      </w:r>
      <w:r w:rsidRPr="005F4DC0">
        <w:rPr>
          <w:rFonts w:ascii="Times New Roman" w:eastAsia="Times New Roman" w:hAnsi="Times New Roman"/>
          <w:i/>
          <w:sz w:val="24"/>
          <w:lang w:val="ru-RU"/>
        </w:rPr>
        <w:t>Доклиниче</w:t>
      </w:r>
      <w:r>
        <w:rPr>
          <w:rFonts w:ascii="Times New Roman" w:eastAsia="Times New Roman" w:hAnsi="Times New Roman"/>
          <w:i/>
          <w:sz w:val="24"/>
          <w:lang w:val="ru-RU"/>
        </w:rPr>
        <w:t xml:space="preserve">ские исследования, фармакология, </w:t>
      </w:r>
      <w:proofErr w:type="spellStart"/>
      <w:r>
        <w:rPr>
          <w:rFonts w:ascii="Times New Roman" w:eastAsia="Times New Roman" w:hAnsi="Times New Roman"/>
          <w:i/>
          <w:sz w:val="24"/>
          <w:lang w:val="ru-RU"/>
        </w:rPr>
        <w:t>ф</w:t>
      </w:r>
      <w:r w:rsidRPr="005F4DC0">
        <w:rPr>
          <w:rFonts w:ascii="Times New Roman" w:eastAsia="Times New Roman" w:hAnsi="Times New Roman"/>
          <w:i/>
          <w:sz w:val="24"/>
          <w:lang w:val="ru-RU"/>
        </w:rPr>
        <w:t>армакодинамика</w:t>
      </w:r>
      <w:proofErr w:type="spellEnd"/>
      <w:r w:rsidRPr="005F4DC0">
        <w:rPr>
          <w:rFonts w:ascii="Times New Roman" w:eastAsia="Times New Roman" w:hAnsi="Times New Roman"/>
          <w:i/>
          <w:sz w:val="24"/>
          <w:lang w:val="ru-RU"/>
        </w:rPr>
        <w:t>, клинические аспекты.</w:t>
      </w:r>
    </w:p>
    <w:p w:rsidR="00A42965" w:rsidRPr="005F4DC0" w:rsidRDefault="005F4DC0" w:rsidP="005F4DC0">
      <w:pPr>
        <w:jc w:val="both"/>
        <w:rPr>
          <w:lang w:val="ru-RU"/>
        </w:rPr>
      </w:pPr>
      <w:proofErr w:type="spellStart"/>
      <w:r w:rsidRPr="005F4DC0">
        <w:rPr>
          <w:rFonts w:ascii="Times New Roman" w:eastAsia="Times New Roman" w:hAnsi="Times New Roman"/>
          <w:b/>
          <w:sz w:val="24"/>
          <w:lang w:val="ru-RU"/>
        </w:rPr>
        <w:t>Казанчян</w:t>
      </w:r>
      <w:proofErr w:type="spell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А.Н. —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аспирант кафедры фармацевтической химии и фармакогнозии. </w:t>
      </w:r>
      <w:r w:rsidRPr="005F4DC0">
        <w:rPr>
          <w:rFonts w:ascii="Times New Roman" w:eastAsia="Times New Roman" w:hAnsi="Times New Roman"/>
          <w:i/>
          <w:sz w:val="24"/>
          <w:lang w:val="ru-RU"/>
        </w:rPr>
        <w:t>Роль в проекте: Лабораторные исследования, аналитический контроль.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br/>
        <w:t>Необходимые дополнения в команду: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Специа</w:t>
      </w:r>
      <w:r w:rsidRPr="005F4DC0">
        <w:rPr>
          <w:rFonts w:ascii="Times New Roman" w:eastAsia="Times New Roman" w:hAnsi="Times New Roman"/>
          <w:sz w:val="24"/>
          <w:lang w:val="ru-RU"/>
        </w:rPr>
        <w:t>лист по регуляторным вопросам (регистрация БАД/медицинских изделий);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Менеджер по коммерциализации и работе с индустриальными партнёрами;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Специалист по дерматологической косметологии (для позиционирования продукта);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Аналитик рынка и маркетолог (для разработ</w:t>
      </w:r>
      <w:r w:rsidRPr="005F4DC0">
        <w:rPr>
          <w:rFonts w:ascii="Times New Roman" w:eastAsia="Times New Roman" w:hAnsi="Times New Roman"/>
          <w:sz w:val="24"/>
          <w:lang w:val="ru-RU"/>
        </w:rPr>
        <w:t>ки стратегии продвижения).</w:t>
      </w:r>
    </w:p>
    <w:p w:rsidR="00A42965" w:rsidRPr="005F4DC0" w:rsidRDefault="00A42965">
      <w:pPr>
        <w:rPr>
          <w:lang w:val="ru-RU"/>
        </w:rPr>
      </w:pPr>
    </w:p>
    <w:p w:rsidR="00A42965" w:rsidRDefault="005F4DC0">
      <w:r>
        <w:rPr>
          <w:rFonts w:ascii="Times New Roman" w:eastAsia="Times New Roman" w:hAnsi="Times New Roman"/>
          <w:b/>
          <w:color w:val="003366"/>
          <w:sz w:val="26"/>
        </w:rPr>
        <w:t>11. РЕСУРСНЫЕ ПОТРЕБНОСТИ</w:t>
      </w:r>
    </w:p>
    <w:p w:rsidR="00A42965" w:rsidRDefault="005F4DC0">
      <w:r>
        <w:rPr>
          <w:rFonts w:ascii="Times New Roman" w:eastAsia="Times New Roman" w:hAnsi="Times New Roman"/>
          <w:b/>
          <w:sz w:val="24"/>
        </w:rPr>
        <w:t>Материальные ресурсы: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Субстанция растительного происхождения (купырь лесной) — заготовка серии партий для стандартизации;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Реактивы и растворители (этиловый спирт, хлороформ, метанол и др.) для экстракци</w:t>
      </w:r>
      <w:r w:rsidRPr="005F4DC0">
        <w:rPr>
          <w:rFonts w:ascii="Times New Roman" w:eastAsia="Times New Roman" w:hAnsi="Times New Roman"/>
          <w:sz w:val="24"/>
          <w:lang w:val="ru-RU"/>
        </w:rPr>
        <w:t>и и анализа;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lastRenderedPageBreak/>
        <w:t xml:space="preserve">Стандартные образцы (рутин,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хлорогеновая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кислота,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кверцетин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) для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валидации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методов;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Вспомогательные вещества для разработки эмульсии (эмульгаторы, консерванты, антиоксиданты);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Упаковочные материалы для пилотной партии (тубы, коробки, этикетки)</w:t>
      </w:r>
      <w:r w:rsidRPr="005F4DC0">
        <w:rPr>
          <w:rFonts w:ascii="Times New Roman" w:eastAsia="Times New Roman" w:hAnsi="Times New Roman"/>
          <w:sz w:val="24"/>
          <w:lang w:val="ru-RU"/>
        </w:rPr>
        <w:t>.</w:t>
      </w:r>
    </w:p>
    <w:p w:rsidR="00A42965" w:rsidRDefault="005F4DC0">
      <w:proofErr w:type="spellStart"/>
      <w:r>
        <w:rPr>
          <w:rFonts w:ascii="Times New Roman" w:eastAsia="Times New Roman" w:hAnsi="Times New Roman"/>
          <w:b/>
          <w:sz w:val="24"/>
        </w:rPr>
        <w:t>Биологические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ресурсы</w:t>
      </w:r>
      <w:proofErr w:type="spellEnd"/>
      <w:r>
        <w:rPr>
          <w:rFonts w:ascii="Times New Roman" w:eastAsia="Times New Roman" w:hAnsi="Times New Roman"/>
          <w:b/>
          <w:sz w:val="24"/>
        </w:rPr>
        <w:t>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Лабораторные животные: линейные мыши и крысы (доклинические испытания);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Клеточные линии: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кератиноциты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>, линии клеток доброкачественных новообразований (</w:t>
      </w:r>
      <w:r>
        <w:rPr>
          <w:rFonts w:ascii="Times New Roman" w:eastAsia="Times New Roman" w:hAnsi="Times New Roman"/>
          <w:sz w:val="24"/>
        </w:rPr>
        <w:t>in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</w:rPr>
        <w:t>vitro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 исследования).</w:t>
      </w:r>
    </w:p>
    <w:p w:rsidR="00A42965" w:rsidRDefault="005F4DC0">
      <w:proofErr w:type="spellStart"/>
      <w:r>
        <w:rPr>
          <w:rFonts w:ascii="Times New Roman" w:eastAsia="Times New Roman" w:hAnsi="Times New Roman"/>
          <w:b/>
          <w:sz w:val="24"/>
        </w:rPr>
        <w:t>Оборудование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sz w:val="24"/>
        </w:rPr>
        <w:t>инфраструктура</w:t>
      </w:r>
      <w:proofErr w:type="spellEnd"/>
      <w:r>
        <w:rPr>
          <w:rFonts w:ascii="Times New Roman" w:eastAsia="Times New Roman" w:hAnsi="Times New Roman"/>
          <w:b/>
          <w:sz w:val="24"/>
        </w:rPr>
        <w:t>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Лабораторное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оборудование: ВЭЖХ-ФДМД-ИЭР-МС, атомно-абсорбционный спектрометр, проточный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цитометр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>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Пилотное экстракционное оборудование (при масштабировании);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Оборудование для производства эмульсий (гомогенизаторы, миксеры);</w:t>
      </w:r>
    </w:p>
    <w:p w:rsidR="00A42965" w:rsidRPr="005F4DC0" w:rsidRDefault="005F4DC0">
      <w:pPr>
        <w:pStyle w:val="a0"/>
        <w:rPr>
          <w:lang w:val="ru-RU"/>
        </w:rPr>
      </w:pP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Стабилографы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и камеры ускоренного старения д</w:t>
      </w:r>
      <w:r w:rsidRPr="005F4DC0">
        <w:rPr>
          <w:rFonts w:ascii="Times New Roman" w:eastAsia="Times New Roman" w:hAnsi="Times New Roman"/>
          <w:sz w:val="24"/>
          <w:lang w:val="ru-RU"/>
        </w:rPr>
        <w:t>ля испытаний лекарственной формы.</w:t>
      </w:r>
    </w:p>
    <w:p w:rsidR="00A42965" w:rsidRPr="005F4DC0" w:rsidRDefault="00A42965">
      <w:pPr>
        <w:rPr>
          <w:lang w:val="ru-RU"/>
        </w:rPr>
      </w:pPr>
    </w:p>
    <w:p w:rsidR="00A42965" w:rsidRDefault="005F4DC0">
      <w:r>
        <w:rPr>
          <w:rFonts w:ascii="Times New Roman" w:eastAsia="Times New Roman" w:hAnsi="Times New Roman"/>
          <w:b/>
          <w:color w:val="003366"/>
          <w:sz w:val="26"/>
        </w:rPr>
        <w:t>12. РИСКИ И МЕРЫ ИХ МИНИМИЗАЦИИ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911"/>
        <w:gridCol w:w="1996"/>
        <w:gridCol w:w="3949"/>
      </w:tblGrid>
      <w:tr w:rsidR="00A42965">
        <w:tc>
          <w:tcPr>
            <w:tcW w:w="3168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Риск</w:t>
            </w:r>
          </w:p>
        </w:tc>
        <w:tc>
          <w:tcPr>
            <w:tcW w:w="2160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Вероятность / Влияние</w:t>
            </w:r>
          </w:p>
        </w:tc>
        <w:tc>
          <w:tcPr>
            <w:tcW w:w="4464" w:type="dxa"/>
          </w:tcPr>
          <w:p w:rsidR="00A42965" w:rsidRDefault="005F4DC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Меры минимизации</w:t>
            </w:r>
          </w:p>
        </w:tc>
      </w:tr>
      <w:tr w:rsidR="00A42965" w:rsidRPr="005F4DC0">
        <w:tc>
          <w:tcPr>
            <w:tcW w:w="3168" w:type="dxa"/>
          </w:tcPr>
          <w:p w:rsidR="00A42965" w:rsidRPr="005F4DC0" w:rsidRDefault="005F4DC0">
            <w:pPr>
              <w:rPr>
                <w:lang w:val="ru-RU"/>
              </w:rPr>
            </w:pPr>
            <w:proofErr w:type="gram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Научно-технический</w:t>
            </w:r>
            <w:proofErr w:type="gram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: недостаточная селективность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цитотоксичности</w:t>
            </w:r>
            <w:proofErr w:type="spellEnd"/>
          </w:p>
        </w:tc>
        <w:tc>
          <w:tcPr>
            <w:tcW w:w="216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Средняя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Высокое</w:t>
            </w:r>
            <w:proofErr w:type="spellEnd"/>
          </w:p>
        </w:tc>
        <w:tc>
          <w:tcPr>
            <w:tcW w:w="4464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Углублённое изучение механизма; оптимизация дозировки; 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комбинирование с вспомогательными веществами для повышения селективности</w:t>
            </w:r>
          </w:p>
        </w:tc>
      </w:tr>
      <w:tr w:rsidR="00A42965" w:rsidRPr="005F4DC0">
        <w:tc>
          <w:tcPr>
            <w:tcW w:w="3168" w:type="dxa"/>
          </w:tcPr>
          <w:p w:rsidR="00A42965" w:rsidRPr="005F4DC0" w:rsidRDefault="005F4DC0">
            <w:pPr>
              <w:rPr>
                <w:lang w:val="ru-RU"/>
              </w:rPr>
            </w:pPr>
            <w:proofErr w:type="gram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Регуляторный</w:t>
            </w:r>
            <w:proofErr w:type="gram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: задержки в регистрации БАД</w:t>
            </w:r>
          </w:p>
        </w:tc>
        <w:tc>
          <w:tcPr>
            <w:tcW w:w="216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Средняя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Среднее</w:t>
            </w:r>
            <w:proofErr w:type="spellEnd"/>
          </w:p>
        </w:tc>
        <w:tc>
          <w:tcPr>
            <w:tcW w:w="4464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Предварительные консультации с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Роспотребнадзором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; привлечение опытного регуляторного специалиста; подготовка полного компле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кта документов заранее</w:t>
            </w:r>
          </w:p>
        </w:tc>
      </w:tr>
      <w:tr w:rsidR="00A42965" w:rsidRPr="005F4DC0">
        <w:tc>
          <w:tcPr>
            <w:tcW w:w="3168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Рыночный: низкий спрос при запуске</w:t>
            </w:r>
          </w:p>
        </w:tc>
        <w:tc>
          <w:tcPr>
            <w:tcW w:w="216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Средняя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Высокое</w:t>
            </w:r>
            <w:proofErr w:type="spellEnd"/>
          </w:p>
        </w:tc>
        <w:tc>
          <w:tcPr>
            <w:tcW w:w="4464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Пилотные продажи через </w:t>
            </w:r>
            <w:proofErr w:type="spell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маркетплейсы</w:t>
            </w:r>
            <w:proofErr w:type="spell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для тестирования спроса; гибкая ценовая политика; </w:t>
            </w:r>
            <w:proofErr w:type="gramStart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сильный</w:t>
            </w:r>
            <w:proofErr w:type="gramEnd"/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digital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-маркетинг; работа с дерматологами и косметологами</w:t>
            </w:r>
          </w:p>
        </w:tc>
      </w:tr>
      <w:tr w:rsidR="00A42965" w:rsidRPr="005F4DC0">
        <w:tc>
          <w:tcPr>
            <w:tcW w:w="3168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Производственный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вариабел</w:t>
            </w:r>
            <w:r>
              <w:rPr>
                <w:rFonts w:ascii="Times New Roman" w:eastAsia="Times New Roman" w:hAnsi="Times New Roman"/>
                <w:sz w:val="20"/>
              </w:rPr>
              <w:t>ьность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качества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сырья</w:t>
            </w:r>
            <w:proofErr w:type="spellEnd"/>
          </w:p>
        </w:tc>
        <w:tc>
          <w:tcPr>
            <w:tcW w:w="216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Высокая / Среднее</w:t>
            </w:r>
          </w:p>
        </w:tc>
        <w:tc>
          <w:tcPr>
            <w:tcW w:w="4464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Стандартизация сырья; создание контрактных плантаций; разработка спецификаций на закупку; контроль каждой партии</w:t>
            </w:r>
          </w:p>
        </w:tc>
      </w:tr>
      <w:tr w:rsidR="00A42965" w:rsidRPr="005F4DC0">
        <w:tc>
          <w:tcPr>
            <w:tcW w:w="3168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Финансовый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превышение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бюджета</w:t>
            </w:r>
            <w:proofErr w:type="spellEnd"/>
          </w:p>
        </w:tc>
        <w:tc>
          <w:tcPr>
            <w:tcW w:w="216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Средняя / Среднее</w:t>
            </w:r>
          </w:p>
        </w:tc>
        <w:tc>
          <w:tcPr>
            <w:tcW w:w="4464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Фиксированные бюджеты по этапам; регулярный мониторин</w:t>
            </w: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г; резерв 10%; поэтапное финансирование с контрольными точками</w:t>
            </w:r>
          </w:p>
        </w:tc>
      </w:tr>
      <w:tr w:rsidR="00A42965" w:rsidRPr="005F4DC0">
        <w:tc>
          <w:tcPr>
            <w:tcW w:w="3168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Конкурентный: выход аналогичного продукта конкурентом</w:t>
            </w:r>
          </w:p>
        </w:tc>
        <w:tc>
          <w:tcPr>
            <w:tcW w:w="2160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Низкая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Среднее</w:t>
            </w:r>
            <w:proofErr w:type="spellEnd"/>
          </w:p>
        </w:tc>
        <w:tc>
          <w:tcPr>
            <w:tcW w:w="4464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Патентная защита; ускоренная разработка; уникальное позиционирование; эксклюзивные контракты с дистрибьюторами</w:t>
            </w:r>
          </w:p>
        </w:tc>
      </w:tr>
      <w:tr w:rsidR="00A42965" w:rsidRPr="005F4DC0">
        <w:tc>
          <w:tcPr>
            <w:tcW w:w="3168" w:type="dxa"/>
          </w:tcPr>
          <w:p w:rsidR="00A42965" w:rsidRDefault="005F4DC0">
            <w:proofErr w:type="spellStart"/>
            <w:r>
              <w:rPr>
                <w:rFonts w:ascii="Times New Roman" w:eastAsia="Times New Roman" w:hAnsi="Times New Roman"/>
                <w:sz w:val="20"/>
              </w:rPr>
              <w:t>Репутационный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негативные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отзывы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потребителей</w:t>
            </w:r>
            <w:proofErr w:type="spellEnd"/>
          </w:p>
        </w:tc>
        <w:tc>
          <w:tcPr>
            <w:tcW w:w="2160" w:type="dxa"/>
          </w:tcPr>
          <w:p w:rsidR="00A42965" w:rsidRDefault="005F4DC0">
            <w:r>
              <w:rPr>
                <w:rFonts w:ascii="Times New Roman" w:eastAsia="Times New Roman" w:hAnsi="Times New Roman"/>
                <w:sz w:val="20"/>
              </w:rPr>
              <w:t>Средняя / Высокое</w:t>
            </w:r>
          </w:p>
        </w:tc>
        <w:tc>
          <w:tcPr>
            <w:tcW w:w="4464" w:type="dxa"/>
          </w:tcPr>
          <w:p w:rsidR="00A42965" w:rsidRPr="005F4DC0" w:rsidRDefault="005F4DC0">
            <w:pPr>
              <w:rPr>
                <w:lang w:val="ru-RU"/>
              </w:rPr>
            </w:pPr>
            <w:r w:rsidRPr="005F4DC0">
              <w:rPr>
                <w:rFonts w:ascii="Times New Roman" w:eastAsia="Times New Roman" w:hAnsi="Times New Roman"/>
                <w:sz w:val="20"/>
                <w:lang w:val="ru-RU"/>
              </w:rPr>
              <w:t>Тщательное тестирование безопасности; честная маркировка; служба поддержки клиентов; мониторинг отзывов</w:t>
            </w:r>
          </w:p>
        </w:tc>
      </w:tr>
    </w:tbl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color w:val="003366"/>
          <w:sz w:val="26"/>
          <w:lang w:val="ru-RU"/>
        </w:rPr>
        <w:t>13. ИТОГОВАЯ ОЦЕНКА И РЕКОМЕНДАЦИИ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t>Сильные стороны проекта: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Высокая научная квалификац</w:t>
      </w:r>
      <w:r w:rsidRPr="005F4DC0">
        <w:rPr>
          <w:rFonts w:ascii="Times New Roman" w:eastAsia="Times New Roman" w:hAnsi="Times New Roman"/>
          <w:sz w:val="24"/>
          <w:lang w:val="ru-RU"/>
        </w:rPr>
        <w:t>ия команды (5 докторов наук);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Уникальное сырьё — купырь лесной, не используемое в существующих препаратах;</w:t>
      </w:r>
    </w:p>
    <w:p w:rsidR="00A42965" w:rsidRDefault="005F4DC0">
      <w:pPr>
        <w:pStyle w:val="a0"/>
      </w:pPr>
      <w:proofErr w:type="spellStart"/>
      <w:r>
        <w:rPr>
          <w:rFonts w:ascii="Times New Roman" w:eastAsia="Times New Roman" w:hAnsi="Times New Roman"/>
          <w:sz w:val="24"/>
        </w:rPr>
        <w:t>Доказанная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цитотоксическая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активность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Концепция «полного цикла» использования сырья;</w:t>
      </w:r>
    </w:p>
    <w:p w:rsidR="00A42965" w:rsidRDefault="005F4DC0">
      <w:pPr>
        <w:pStyle w:val="a0"/>
      </w:pPr>
      <w:proofErr w:type="spellStart"/>
      <w:r>
        <w:rPr>
          <w:rFonts w:ascii="Times New Roman" w:eastAsia="Times New Roman" w:hAnsi="Times New Roman"/>
          <w:sz w:val="24"/>
        </w:rPr>
        <w:t>Импортозамещающий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потенциал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Растущий рынок БАД и натуральной к</w:t>
      </w:r>
      <w:r w:rsidRPr="005F4DC0">
        <w:rPr>
          <w:rFonts w:ascii="Times New Roman" w:eastAsia="Times New Roman" w:hAnsi="Times New Roman"/>
          <w:sz w:val="24"/>
          <w:lang w:val="ru-RU"/>
        </w:rPr>
        <w:t>осметики.</w:t>
      </w:r>
    </w:p>
    <w:p w:rsidR="00A42965" w:rsidRDefault="005F4DC0">
      <w:proofErr w:type="spellStart"/>
      <w:r>
        <w:rPr>
          <w:rFonts w:ascii="Times New Roman" w:eastAsia="Times New Roman" w:hAnsi="Times New Roman"/>
          <w:b/>
          <w:sz w:val="24"/>
        </w:rPr>
        <w:t>Зоны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для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усиления</w:t>
      </w:r>
      <w:proofErr w:type="spellEnd"/>
      <w:r>
        <w:rPr>
          <w:rFonts w:ascii="Times New Roman" w:eastAsia="Times New Roman" w:hAnsi="Times New Roman"/>
          <w:b/>
          <w:sz w:val="24"/>
        </w:rPr>
        <w:t>: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Необходимо ускорить переход от фундаментальных исследований к разработке конкретной лекарственной формы;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Требуется дополнить команду специалистами по коммерциализации и регуляторным вопросам;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Необходимо разработать чёткий план </w:t>
      </w:r>
      <w:r w:rsidRPr="005F4DC0">
        <w:rPr>
          <w:rFonts w:ascii="Times New Roman" w:eastAsia="Times New Roman" w:hAnsi="Times New Roman"/>
          <w:sz w:val="24"/>
          <w:lang w:val="ru-RU"/>
        </w:rPr>
        <w:t>патентной защиты;</w:t>
      </w:r>
    </w:p>
    <w:p w:rsidR="00A42965" w:rsidRPr="005F4DC0" w:rsidRDefault="005F4DC0">
      <w:pPr>
        <w:pStyle w:val="a0"/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Рекомендуется начать переговоры с потенциальными индустриальными партнёрами на ранней стадии (УГТ 5–6).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br/>
        <w:t xml:space="preserve">Рекомендуемая стратегия: </w:t>
      </w:r>
      <w:r w:rsidRPr="005F4DC0">
        <w:rPr>
          <w:rFonts w:ascii="Times New Roman" w:eastAsia="Times New Roman" w:hAnsi="Times New Roman"/>
          <w:sz w:val="24"/>
          <w:lang w:val="ru-RU"/>
        </w:rPr>
        <w:t>Реализация концепции «двойного трека» с параллельным развитием Варианта</w:t>
      </w:r>
      <w:proofErr w:type="gramStart"/>
      <w:r w:rsidRPr="005F4DC0">
        <w:rPr>
          <w:rFonts w:ascii="Times New Roman" w:eastAsia="Times New Roman" w:hAnsi="Times New Roman"/>
          <w:sz w:val="24"/>
          <w:lang w:val="ru-RU"/>
        </w:rPr>
        <w:t xml:space="preserve"> А</w:t>
      </w:r>
      <w:proofErr w:type="gramEnd"/>
      <w:r w:rsidRPr="005F4DC0">
        <w:rPr>
          <w:rFonts w:ascii="Times New Roman" w:eastAsia="Times New Roman" w:hAnsi="Times New Roman"/>
          <w:sz w:val="24"/>
          <w:lang w:val="ru-RU"/>
        </w:rPr>
        <w:t xml:space="preserve"> (быстрый выход на рынок как 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БАД/косметика) и Варианта Б (долгосрочная разработка медицинского продукта). Это позволит генерировать выручку и </w:t>
      </w:r>
      <w:proofErr w:type="spellStart"/>
      <w:r w:rsidRPr="005F4DC0">
        <w:rPr>
          <w:rFonts w:ascii="Times New Roman" w:eastAsia="Times New Roman" w:hAnsi="Times New Roman"/>
          <w:sz w:val="24"/>
          <w:lang w:val="ru-RU"/>
        </w:rPr>
        <w:t>маркетировать</w:t>
      </w:r>
      <w:proofErr w:type="spellEnd"/>
      <w:r w:rsidRPr="005F4DC0">
        <w:rPr>
          <w:rFonts w:ascii="Times New Roman" w:eastAsia="Times New Roman" w:hAnsi="Times New Roman"/>
          <w:sz w:val="24"/>
          <w:lang w:val="ru-RU"/>
        </w:rPr>
        <w:t xml:space="preserve"> бренд на ранних этапах, одновременно накапливая данные для регистрации медицинского продукта.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b/>
          <w:sz w:val="24"/>
          <w:lang w:val="ru-RU"/>
        </w:rPr>
        <w:br/>
        <w:t xml:space="preserve">Приоритетные действия </w:t>
      </w:r>
      <w:proofErr w:type="gramStart"/>
      <w:r w:rsidRPr="005F4DC0">
        <w:rPr>
          <w:rFonts w:ascii="Times New Roman" w:eastAsia="Times New Roman" w:hAnsi="Times New Roman"/>
          <w:b/>
          <w:sz w:val="24"/>
          <w:lang w:val="ru-RU"/>
        </w:rPr>
        <w:t>на</w:t>
      </w:r>
      <w:proofErr w:type="gramEnd"/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ближайшие</w:t>
      </w:r>
      <w:r w:rsidRPr="005F4DC0">
        <w:rPr>
          <w:rFonts w:ascii="Times New Roman" w:eastAsia="Times New Roman" w:hAnsi="Times New Roman"/>
          <w:b/>
          <w:sz w:val="24"/>
          <w:lang w:val="ru-RU"/>
        </w:rPr>
        <w:t xml:space="preserve"> 12 месяцев: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1. Завершить стандартизацию сырья и оптимизацию экстракции (Этапы 1–2);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 xml:space="preserve">2. Провести углублённые </w:t>
      </w:r>
      <w:r>
        <w:rPr>
          <w:rFonts w:ascii="Times New Roman" w:eastAsia="Times New Roman" w:hAnsi="Times New Roman"/>
          <w:sz w:val="24"/>
        </w:rPr>
        <w:t>in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</w:rPr>
        <w:t>vitro</w:t>
      </w:r>
      <w:r w:rsidRPr="005F4DC0">
        <w:rPr>
          <w:rFonts w:ascii="Times New Roman" w:eastAsia="Times New Roman" w:hAnsi="Times New Roman"/>
          <w:sz w:val="24"/>
          <w:lang w:val="ru-RU"/>
        </w:rPr>
        <w:t xml:space="preserve"> исследования селективности и механизма действия (Этап 3);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lastRenderedPageBreak/>
        <w:t>3. Разработать пилотную рецептуру эмульсии и оценить её стабильность (Этап 5);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4</w:t>
      </w:r>
      <w:r w:rsidRPr="005F4DC0">
        <w:rPr>
          <w:rFonts w:ascii="Times New Roman" w:eastAsia="Times New Roman" w:hAnsi="Times New Roman"/>
          <w:sz w:val="24"/>
          <w:lang w:val="ru-RU"/>
        </w:rPr>
        <w:t>. Подготовить и подать заявку на изобретение;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5. Начать переговоры с 2–3 потенциальными индустриальными партнёрами;</w:t>
      </w:r>
    </w:p>
    <w:p w:rsidR="00A42965" w:rsidRPr="005F4DC0" w:rsidRDefault="005F4DC0">
      <w:pPr>
        <w:rPr>
          <w:lang w:val="ru-RU"/>
        </w:rPr>
      </w:pPr>
      <w:r w:rsidRPr="005F4DC0">
        <w:rPr>
          <w:rFonts w:ascii="Times New Roman" w:eastAsia="Times New Roman" w:hAnsi="Times New Roman"/>
          <w:sz w:val="24"/>
          <w:lang w:val="ru-RU"/>
        </w:rPr>
        <w:t>6. Разработать бизнес-план и провести презентацию для потенциальных инвесторов.</w:t>
      </w:r>
    </w:p>
    <w:p w:rsidR="00A42965" w:rsidRPr="005F4DC0" w:rsidRDefault="00A42965">
      <w:pPr>
        <w:rPr>
          <w:lang w:val="ru-RU"/>
        </w:rPr>
      </w:pPr>
    </w:p>
    <w:p w:rsidR="00A42965" w:rsidRPr="005F4DC0" w:rsidRDefault="00A42965">
      <w:pPr>
        <w:rPr>
          <w:lang w:val="ru-RU"/>
        </w:rPr>
      </w:pPr>
    </w:p>
    <w:p w:rsidR="00A42965" w:rsidRPr="005F4DC0" w:rsidRDefault="005F4DC0">
      <w:pPr>
        <w:jc w:val="right"/>
        <w:rPr>
          <w:lang w:val="ru-RU"/>
        </w:rPr>
      </w:pPr>
      <w:r w:rsidRPr="005F4DC0">
        <w:rPr>
          <w:rFonts w:ascii="Times New Roman" w:eastAsia="Times New Roman" w:hAnsi="Times New Roman"/>
          <w:i/>
          <w:sz w:val="20"/>
          <w:lang w:val="ru-RU"/>
        </w:rPr>
        <w:t>Документ подготовлен: 11.06.2026</w:t>
      </w:r>
      <w:proofErr w:type="gramStart"/>
      <w:r w:rsidRPr="005F4DC0">
        <w:rPr>
          <w:rFonts w:ascii="Times New Roman" w:eastAsia="Times New Roman" w:hAnsi="Times New Roman"/>
          <w:i/>
          <w:sz w:val="20"/>
          <w:lang w:val="ru-RU"/>
        </w:rPr>
        <w:br/>
        <w:t>Н</w:t>
      </w:r>
      <w:proofErr w:type="gramEnd"/>
      <w:r w:rsidRPr="005F4DC0">
        <w:rPr>
          <w:rFonts w:ascii="Times New Roman" w:eastAsia="Times New Roman" w:hAnsi="Times New Roman"/>
          <w:i/>
          <w:sz w:val="20"/>
          <w:lang w:val="ru-RU"/>
        </w:rPr>
        <w:t>а основании анализа исхо</w:t>
      </w:r>
      <w:r w:rsidRPr="005F4DC0">
        <w:rPr>
          <w:rFonts w:ascii="Times New Roman" w:eastAsia="Times New Roman" w:hAnsi="Times New Roman"/>
          <w:i/>
          <w:sz w:val="20"/>
          <w:lang w:val="ru-RU"/>
        </w:rPr>
        <w:t>дного проекта кафедры фармакогнозии</w:t>
      </w:r>
    </w:p>
    <w:sectPr w:rsidR="00A42965" w:rsidRPr="005F4D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4DC0"/>
    <w:rsid w:val="00A4296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05D5F-97F4-4AF7-9EB0-9CCD6C6F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3113</Words>
  <Characters>17750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Арнольд</cp:lastModifiedBy>
  <cp:revision>2</cp:revision>
  <dcterms:created xsi:type="dcterms:W3CDTF">2026-06-11T17:37:00Z</dcterms:created>
  <dcterms:modified xsi:type="dcterms:W3CDTF">2026-06-11T17:37:00Z</dcterms:modified>
</cp:coreProperties>
</file>